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99" w:rsidRDefault="00B84065">
      <w:pPr>
        <w:sectPr w:rsidR="00A66099" w:rsidSect="00B565CC">
          <w:headerReference w:type="default" r:id="rId8"/>
          <w:footerReference w:type="default" r:id="rId9"/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  <w:bookmarkStart w:id="10" w:name="_GoBack"/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984358">
        <w:tc>
          <w:tcPr>
            <w:tcW w:w="8978" w:type="dxa"/>
          </w:tcPr>
          <w:p w:rsidR="00D35AD6" w:rsidRPr="009E00C1" w:rsidRDefault="00B84065" w:rsidP="00F21B3B">
            <w:pPr>
              <w:pStyle w:val="Encabezado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“Por un control fiscal efectivo y t</w:t>
            </w:r>
            <w:r w:rsidRPr="00196D69">
              <w:rPr>
                <w:rFonts w:ascii="Arial" w:hAnsi="Arial" w:cs="Arial"/>
                <w:b/>
                <w:sz w:val="24"/>
                <w:szCs w:val="24"/>
              </w:rPr>
              <w:t>ransparente”</w:t>
            </w:r>
          </w:p>
        </w:tc>
      </w:tr>
    </w:tbl>
    <w:p w:rsidR="00A66099" w:rsidRDefault="00B84065" w:rsidP="00DB5614">
      <w:pPr>
        <w:tabs>
          <w:tab w:val="left" w:pos="-720"/>
          <w:tab w:val="left" w:pos="0"/>
        </w:tabs>
        <w:suppressAutoHyphens/>
        <w:jc w:val="both"/>
        <w:sectPr w:rsidR="00A66099" w:rsidSect="00B565CC"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p w:rsidR="00442169" w:rsidRPr="00BF61E5" w:rsidRDefault="00B84065" w:rsidP="00442169">
      <w:pPr>
        <w:tabs>
          <w:tab w:val="left" w:pos="1620"/>
        </w:tabs>
        <w:rPr>
          <w:rFonts w:cs="Arial"/>
          <w:b/>
          <w:lang w:val="es-MX"/>
        </w:rPr>
      </w:pPr>
      <w:r w:rsidRPr="00BF61E5">
        <w:rPr>
          <w:rFonts w:cs="Arial"/>
          <w:b/>
          <w:lang w:val="es-MX"/>
        </w:rPr>
        <w:lastRenderedPageBreak/>
        <w:t>PARA:</w:t>
      </w:r>
      <w:r w:rsidRPr="00BF61E5">
        <w:rPr>
          <w:rFonts w:cs="Arial"/>
          <w:lang w:val="es-MX"/>
        </w:rPr>
        <w:tab/>
      </w:r>
      <w:r w:rsidRPr="00BF61E5">
        <w:rPr>
          <w:rFonts w:cs="Arial"/>
          <w:b/>
          <w:lang w:val="es-MX"/>
        </w:rPr>
        <w:t>DRA MARIA ADALGISA CACERES RAYO</w:t>
      </w:r>
    </w:p>
    <w:p w:rsidR="00442169" w:rsidRPr="00BF61E5" w:rsidRDefault="00B84065" w:rsidP="00442169">
      <w:pPr>
        <w:ind w:left="1656"/>
        <w:rPr>
          <w:rFonts w:cs="Arial"/>
          <w:lang w:val="es-MX"/>
        </w:rPr>
      </w:pPr>
      <w:r w:rsidRPr="00BF61E5">
        <w:rPr>
          <w:rFonts w:cs="Arial"/>
          <w:lang w:val="es-MX"/>
        </w:rPr>
        <w:t>Responsable Proceso de Responsabilidad Fiscal y    Jurisdicción   Coactiva.</w:t>
      </w:r>
    </w:p>
    <w:p w:rsidR="00442169" w:rsidRPr="00BF61E5" w:rsidRDefault="00B84065" w:rsidP="00442169">
      <w:pPr>
        <w:rPr>
          <w:rFonts w:cs="Arial"/>
          <w:lang w:val="es-MX"/>
        </w:rPr>
      </w:pPr>
    </w:p>
    <w:p w:rsidR="00442169" w:rsidRPr="00BF61E5" w:rsidRDefault="00B84065" w:rsidP="00442169">
      <w:pPr>
        <w:rPr>
          <w:rFonts w:cs="Arial"/>
          <w:b/>
          <w:lang w:val="es-MX"/>
        </w:rPr>
      </w:pPr>
      <w:r w:rsidRPr="00BF61E5">
        <w:rPr>
          <w:rFonts w:cs="Arial"/>
          <w:b/>
          <w:lang w:val="es-MX"/>
        </w:rPr>
        <w:t>DE:</w:t>
      </w:r>
      <w:r w:rsidRPr="00BF61E5">
        <w:rPr>
          <w:rFonts w:cs="Arial"/>
          <w:lang w:val="es-MX"/>
        </w:rPr>
        <w:tab/>
      </w:r>
      <w:r w:rsidRPr="00BF61E5">
        <w:rPr>
          <w:rFonts w:cs="Arial"/>
          <w:lang w:val="es-MX"/>
        </w:rPr>
        <w:tab/>
        <w:t xml:space="preserve">    </w:t>
      </w:r>
      <w:r w:rsidRPr="00BF61E5">
        <w:rPr>
          <w:rFonts w:cs="Arial"/>
          <w:b/>
          <w:lang w:val="es-MX"/>
        </w:rPr>
        <w:t>JEFE OFICINA DE CONTROL INTERNO</w:t>
      </w:r>
    </w:p>
    <w:p w:rsidR="00442169" w:rsidRPr="00BF61E5" w:rsidRDefault="00B84065" w:rsidP="00442169">
      <w:pPr>
        <w:rPr>
          <w:rFonts w:cs="Arial"/>
          <w:lang w:val="es-MX"/>
        </w:rPr>
      </w:pPr>
    </w:p>
    <w:p w:rsidR="00442169" w:rsidRPr="00BF61E5" w:rsidRDefault="00B84065" w:rsidP="00442169">
      <w:pPr>
        <w:ind w:left="1710" w:hanging="1710"/>
        <w:jc w:val="both"/>
        <w:rPr>
          <w:rFonts w:cs="Arial"/>
          <w:lang w:val="es-MX"/>
        </w:rPr>
      </w:pPr>
      <w:r w:rsidRPr="00BF61E5">
        <w:rPr>
          <w:rFonts w:cs="Arial"/>
          <w:b/>
          <w:caps/>
          <w:lang w:val="es-MX"/>
        </w:rPr>
        <w:t>Asunto:</w:t>
      </w:r>
      <w:r w:rsidRPr="00BF61E5">
        <w:rPr>
          <w:rFonts w:cs="Arial"/>
          <w:lang w:val="es-MX"/>
        </w:rPr>
        <w:t xml:space="preserve"> </w:t>
      </w:r>
      <w:r w:rsidRPr="00BF61E5">
        <w:rPr>
          <w:rFonts w:cs="Arial"/>
          <w:lang w:val="es-MX"/>
        </w:rPr>
        <w:tab/>
      </w:r>
      <w:r w:rsidRPr="00BF61E5">
        <w:rPr>
          <w:rFonts w:cs="Arial"/>
          <w:lang w:val="es-MX"/>
        </w:rPr>
        <w:t xml:space="preserve">Informe de seguimiento Plan de Mejoramiento – Acciones Correctivas, Preventivas y de Mejora – a </w:t>
      </w:r>
      <w:r>
        <w:rPr>
          <w:rFonts w:cs="Arial"/>
          <w:lang w:val="es-MX"/>
        </w:rPr>
        <w:t>junio</w:t>
      </w:r>
      <w:r w:rsidRPr="00BF61E5">
        <w:rPr>
          <w:rFonts w:cs="Arial"/>
          <w:lang w:val="es-MX"/>
        </w:rPr>
        <w:t xml:space="preserve"> de 2015. Proceso de Responsabilidad Fiscal y Jurisdicción Coactiva.</w:t>
      </w:r>
    </w:p>
    <w:p w:rsidR="00442169" w:rsidRDefault="00B84065" w:rsidP="00442169">
      <w:pPr>
        <w:jc w:val="both"/>
        <w:rPr>
          <w:rFonts w:cs="Arial"/>
          <w:lang w:val="es-MX"/>
        </w:rPr>
      </w:pPr>
    </w:p>
    <w:p w:rsidR="00442169" w:rsidRDefault="00B84065" w:rsidP="00442169">
      <w:pPr>
        <w:jc w:val="both"/>
        <w:rPr>
          <w:rFonts w:cs="Arial"/>
          <w:lang w:val="es-MX"/>
        </w:rPr>
      </w:pPr>
      <w:r w:rsidRPr="00BF61E5">
        <w:rPr>
          <w:rFonts w:cs="Arial"/>
        </w:rPr>
        <w:t xml:space="preserve">De conformidad con lo establecido mediante la </w:t>
      </w:r>
      <w:r>
        <w:rPr>
          <w:rFonts w:cs="Arial"/>
        </w:rPr>
        <w:t xml:space="preserve">Resolución  Reglamentaria       </w:t>
      </w:r>
      <w:r w:rsidRPr="00BF61E5">
        <w:rPr>
          <w:rFonts w:cs="Arial"/>
        </w:rPr>
        <w:t>No. 010</w:t>
      </w:r>
      <w:r w:rsidRPr="00BF61E5">
        <w:rPr>
          <w:rFonts w:cs="Arial"/>
        </w:rPr>
        <w:t xml:space="preserve"> de febrero 24 de 2014</w:t>
      </w:r>
      <w:r>
        <w:rPr>
          <w:rFonts w:cs="Arial"/>
        </w:rPr>
        <w:t xml:space="preserve">, </w:t>
      </w:r>
      <w:r w:rsidRPr="00BF61E5">
        <w:rPr>
          <w:rFonts w:cs="Arial"/>
        </w:rPr>
        <w:t xml:space="preserve">de manera atenta me permito remitir a su despacho </w:t>
      </w:r>
      <w:r>
        <w:rPr>
          <w:rFonts w:cs="Arial"/>
        </w:rPr>
        <w:t xml:space="preserve">el informe sobre el seguimiento </w:t>
      </w:r>
      <w:r w:rsidRPr="00BF61E5">
        <w:rPr>
          <w:rFonts w:cs="Arial"/>
        </w:rPr>
        <w:t>efectu</w:t>
      </w:r>
      <w:r>
        <w:rPr>
          <w:rFonts w:cs="Arial"/>
        </w:rPr>
        <w:t xml:space="preserve">ado </w:t>
      </w:r>
      <w:r w:rsidRPr="00BF61E5">
        <w:rPr>
          <w:rFonts w:cs="Arial"/>
        </w:rPr>
        <w:t xml:space="preserve">al Anexo </w:t>
      </w:r>
      <w:r>
        <w:rPr>
          <w:rFonts w:cs="Arial"/>
        </w:rPr>
        <w:t xml:space="preserve">                                           </w:t>
      </w:r>
      <w:r w:rsidRPr="00BF61E5">
        <w:rPr>
          <w:rFonts w:cs="Arial"/>
        </w:rPr>
        <w:t xml:space="preserve">1 </w:t>
      </w:r>
      <w:r>
        <w:rPr>
          <w:rFonts w:cs="Arial"/>
        </w:rPr>
        <w:t xml:space="preserve"> </w:t>
      </w:r>
      <w:r w:rsidRPr="00BF61E5">
        <w:rPr>
          <w:rFonts w:cs="Arial"/>
        </w:rPr>
        <w:t xml:space="preserve">Plan de Mejoramiento – Acciones Correctivas, Preventivas y de Mejora con corte a </w:t>
      </w:r>
      <w:r>
        <w:rPr>
          <w:rFonts w:cs="Arial"/>
        </w:rPr>
        <w:t>juni</w:t>
      </w:r>
      <w:r>
        <w:rPr>
          <w:rFonts w:cs="Arial"/>
        </w:rPr>
        <w:t>o</w:t>
      </w:r>
      <w:r w:rsidRPr="00BF61E5">
        <w:rPr>
          <w:rFonts w:cs="Arial"/>
        </w:rPr>
        <w:t xml:space="preserve"> de 2015, correspondiente al proceso de Responsabilidad Fiscal y Jurisdicción Coactiva.</w:t>
      </w:r>
    </w:p>
    <w:p w:rsidR="00442169" w:rsidRPr="00442169" w:rsidRDefault="00B84065" w:rsidP="00442169">
      <w:pPr>
        <w:jc w:val="both"/>
        <w:rPr>
          <w:rFonts w:cs="Arial"/>
          <w:lang w:val="es-MX"/>
        </w:rPr>
      </w:pPr>
    </w:p>
    <w:p w:rsidR="00442169" w:rsidRPr="00BF61E5" w:rsidRDefault="00B84065" w:rsidP="00442169">
      <w:pPr>
        <w:jc w:val="both"/>
        <w:rPr>
          <w:rFonts w:cs="Arial"/>
          <w:b/>
        </w:rPr>
      </w:pPr>
      <w:r w:rsidRPr="00BF61E5">
        <w:rPr>
          <w:rFonts w:cs="Arial"/>
          <w:b/>
        </w:rPr>
        <w:t>Seguimiento al Plan de Mejoramiento</w:t>
      </w:r>
    </w:p>
    <w:p w:rsidR="00442169" w:rsidRPr="00BF61E5" w:rsidRDefault="00B84065" w:rsidP="00442169">
      <w:pPr>
        <w:jc w:val="both"/>
        <w:rPr>
          <w:rFonts w:cs="Arial"/>
          <w:b/>
        </w:rPr>
      </w:pPr>
    </w:p>
    <w:p w:rsidR="00442169" w:rsidRDefault="00B84065" w:rsidP="00442169">
      <w:pPr>
        <w:jc w:val="both"/>
        <w:rPr>
          <w:rFonts w:cs="Arial"/>
        </w:rPr>
      </w:pPr>
      <w:r w:rsidRPr="00BF61E5">
        <w:rPr>
          <w:rFonts w:cs="Arial"/>
        </w:rPr>
        <w:t xml:space="preserve">De un total de </w:t>
      </w:r>
      <w:r>
        <w:rPr>
          <w:rFonts w:cs="Arial"/>
        </w:rPr>
        <w:t>6</w:t>
      </w:r>
      <w:r w:rsidRPr="00BF61E5">
        <w:rPr>
          <w:rFonts w:cs="Arial"/>
        </w:rPr>
        <w:t xml:space="preserve"> hallazgos, no conformidades, acciones de mejora y/o riesgos incluidos en el Plan de Mejoramiento del Proceso, producto de la Auditoría realizada por la Oficina de Control Interno. Partiendo de lo anterior, se </w:t>
      </w:r>
      <w:r>
        <w:rPr>
          <w:rFonts w:cs="Arial"/>
        </w:rPr>
        <w:t xml:space="preserve">sugirió </w:t>
      </w:r>
      <w:r w:rsidRPr="00BF61E5">
        <w:rPr>
          <w:rFonts w:cs="Arial"/>
        </w:rPr>
        <w:t>el cierre de dos (2) hallazgos corresp</w:t>
      </w:r>
      <w:r w:rsidRPr="00BF61E5">
        <w:rPr>
          <w:rFonts w:cs="Arial"/>
        </w:rPr>
        <w:t>ondientes a la Auditoría Fiscal</w:t>
      </w:r>
      <w:r>
        <w:rPr>
          <w:rFonts w:cs="Arial"/>
        </w:rPr>
        <w:t>.</w:t>
      </w:r>
    </w:p>
    <w:p w:rsidR="00442169" w:rsidRPr="00BF61E5" w:rsidRDefault="00B84065" w:rsidP="00442169">
      <w:pPr>
        <w:jc w:val="both"/>
        <w:rPr>
          <w:rFonts w:cs="Arial"/>
        </w:rPr>
      </w:pPr>
    </w:p>
    <w:p w:rsidR="00442169" w:rsidRDefault="00B84065" w:rsidP="00442169">
      <w:pPr>
        <w:jc w:val="both"/>
        <w:rPr>
          <w:rFonts w:cs="Arial"/>
        </w:rPr>
      </w:pPr>
      <w:r w:rsidRPr="00BF61E5">
        <w:rPr>
          <w:rFonts w:cs="Arial"/>
        </w:rPr>
        <w:t xml:space="preserve">En resumen, </w:t>
      </w:r>
      <w:r>
        <w:rPr>
          <w:rFonts w:cs="Arial"/>
        </w:rPr>
        <w:t>el</w:t>
      </w:r>
      <w:r w:rsidRPr="00BF61E5">
        <w:rPr>
          <w:rFonts w:cs="Arial"/>
        </w:rPr>
        <w:t xml:space="preserve"> resultado de</w:t>
      </w:r>
      <w:r>
        <w:rPr>
          <w:rFonts w:cs="Arial"/>
        </w:rPr>
        <w:t xml:space="preserve"> la verificación efectuada</w:t>
      </w:r>
      <w:r w:rsidRPr="00BF61E5">
        <w:rPr>
          <w:rFonts w:cs="Arial"/>
        </w:rPr>
        <w:t xml:space="preserve"> al Plan de Mejoramiento del Proceso de Responsabilidad Fiscal y Jurisdicción Coactiva con corte a </w:t>
      </w:r>
      <w:r>
        <w:rPr>
          <w:rFonts w:cs="Arial"/>
        </w:rPr>
        <w:t>junio de 201</w:t>
      </w:r>
      <w:r w:rsidRPr="00BF61E5">
        <w:rPr>
          <w:rFonts w:cs="Arial"/>
        </w:rPr>
        <w:t>5</w:t>
      </w:r>
      <w:r>
        <w:rPr>
          <w:rFonts w:cs="Arial"/>
        </w:rPr>
        <w:t xml:space="preserve">, es como se observa en la siguiente tabla: </w:t>
      </w:r>
    </w:p>
    <w:p w:rsidR="00442169" w:rsidRPr="00A9322E" w:rsidRDefault="00B84065" w:rsidP="00442169">
      <w:pPr>
        <w:jc w:val="both"/>
        <w:rPr>
          <w:rFonts w:cs="Arial"/>
        </w:rPr>
      </w:pPr>
    </w:p>
    <w:p w:rsidR="00442169" w:rsidRPr="00BF61E5" w:rsidRDefault="00B84065" w:rsidP="00442169">
      <w:pPr>
        <w:jc w:val="center"/>
        <w:rPr>
          <w:rFonts w:cs="Arial"/>
          <w:b/>
          <w:sz w:val="22"/>
          <w:szCs w:val="22"/>
        </w:rPr>
      </w:pPr>
      <w:r w:rsidRPr="00BF61E5">
        <w:rPr>
          <w:rFonts w:cs="Arial"/>
          <w:b/>
          <w:sz w:val="22"/>
          <w:szCs w:val="22"/>
        </w:rPr>
        <w:t>Tabla 1</w:t>
      </w:r>
    </w:p>
    <w:p w:rsidR="00442169" w:rsidRPr="00BF61E5" w:rsidRDefault="00B84065" w:rsidP="00442169">
      <w:pPr>
        <w:jc w:val="center"/>
        <w:rPr>
          <w:rFonts w:cs="Arial"/>
          <w:b/>
          <w:sz w:val="22"/>
          <w:szCs w:val="22"/>
        </w:rPr>
      </w:pPr>
      <w:r w:rsidRPr="00BF61E5">
        <w:rPr>
          <w:rFonts w:cs="Arial"/>
          <w:b/>
          <w:sz w:val="22"/>
          <w:szCs w:val="22"/>
        </w:rPr>
        <w:t>“Pl</w:t>
      </w:r>
      <w:r w:rsidRPr="00BF61E5">
        <w:rPr>
          <w:rFonts w:cs="Arial"/>
          <w:b/>
          <w:sz w:val="22"/>
          <w:szCs w:val="22"/>
        </w:rPr>
        <w:t>an de Mejoramiento-Acciones Correctivas, Preventivas y de Mejora”</w:t>
      </w:r>
    </w:p>
    <w:tbl>
      <w:tblPr>
        <w:tblpPr w:leftFromText="141" w:rightFromText="141" w:vertAnchor="text" w:horzAnchor="margin" w:tblpY="106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664"/>
        <w:gridCol w:w="1026"/>
        <w:gridCol w:w="8"/>
        <w:gridCol w:w="1381"/>
        <w:gridCol w:w="13"/>
        <w:gridCol w:w="1318"/>
        <w:gridCol w:w="1558"/>
      </w:tblGrid>
      <w:tr w:rsidR="00984358" w:rsidTr="0043512E">
        <w:tc>
          <w:tcPr>
            <w:tcW w:w="2260" w:type="dxa"/>
            <w:shd w:val="clear" w:color="auto" w:fill="D9D9D9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87483">
              <w:rPr>
                <w:rFonts w:cs="Arial"/>
                <w:b/>
                <w:sz w:val="20"/>
                <w:szCs w:val="14"/>
              </w:rPr>
              <w:t>ORIGEN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87483">
              <w:rPr>
                <w:rFonts w:cs="Arial"/>
                <w:b/>
                <w:sz w:val="16"/>
                <w:szCs w:val="14"/>
              </w:rPr>
              <w:t xml:space="preserve">TIPO DE ACCIÓN </w:t>
            </w:r>
            <w:r w:rsidRPr="00804A51">
              <w:rPr>
                <w:rFonts w:cs="Arial"/>
                <w:b/>
                <w:sz w:val="14"/>
                <w:szCs w:val="14"/>
              </w:rPr>
              <w:t>(Correctiva, Preventiva o de Mejora)</w:t>
            </w:r>
          </w:p>
        </w:tc>
        <w:tc>
          <w:tcPr>
            <w:tcW w:w="1034" w:type="dxa"/>
            <w:gridSpan w:val="2"/>
            <w:shd w:val="clear" w:color="auto" w:fill="D9D9D9"/>
            <w:vAlign w:val="center"/>
          </w:tcPr>
          <w:p w:rsidR="00442169" w:rsidRPr="00087483" w:rsidRDefault="00B84065" w:rsidP="0043512E">
            <w:pPr>
              <w:jc w:val="center"/>
              <w:rPr>
                <w:rFonts w:cs="Arial"/>
                <w:b/>
                <w:sz w:val="16"/>
                <w:szCs w:val="14"/>
              </w:rPr>
            </w:pPr>
            <w:r w:rsidRPr="00087483">
              <w:rPr>
                <w:rFonts w:cs="Arial"/>
                <w:b/>
                <w:sz w:val="16"/>
                <w:szCs w:val="14"/>
              </w:rPr>
              <w:t>ABIERTAS</w:t>
            </w:r>
          </w:p>
        </w:tc>
        <w:tc>
          <w:tcPr>
            <w:tcW w:w="1394" w:type="dxa"/>
            <w:gridSpan w:val="2"/>
            <w:shd w:val="clear" w:color="auto" w:fill="D9D9D9"/>
            <w:vAlign w:val="center"/>
          </w:tcPr>
          <w:p w:rsidR="00442169" w:rsidRPr="00087483" w:rsidRDefault="00B84065" w:rsidP="0043512E">
            <w:pPr>
              <w:jc w:val="center"/>
              <w:rPr>
                <w:rFonts w:cs="Arial"/>
                <w:b/>
                <w:sz w:val="16"/>
                <w:szCs w:val="14"/>
              </w:rPr>
            </w:pPr>
            <w:r w:rsidRPr="00087483">
              <w:rPr>
                <w:rFonts w:cs="Arial"/>
                <w:b/>
                <w:sz w:val="16"/>
                <w:szCs w:val="14"/>
              </w:rPr>
              <w:t>CERRADAS Y/O MITIGADAS</w:t>
            </w:r>
          </w:p>
        </w:tc>
        <w:tc>
          <w:tcPr>
            <w:tcW w:w="1318" w:type="dxa"/>
            <w:shd w:val="clear" w:color="auto" w:fill="D9D9D9"/>
            <w:vAlign w:val="center"/>
          </w:tcPr>
          <w:p w:rsidR="00442169" w:rsidRPr="00087483" w:rsidRDefault="00B84065" w:rsidP="0043512E">
            <w:pPr>
              <w:jc w:val="center"/>
              <w:rPr>
                <w:rFonts w:cs="Arial"/>
                <w:b/>
                <w:sz w:val="16"/>
                <w:szCs w:val="14"/>
              </w:rPr>
            </w:pPr>
            <w:r w:rsidRPr="00087483">
              <w:rPr>
                <w:rFonts w:cs="Arial"/>
                <w:b/>
                <w:sz w:val="16"/>
                <w:szCs w:val="14"/>
              </w:rPr>
              <w:t>SE SUGIERE EL CIERRE (A*)</w:t>
            </w:r>
          </w:p>
        </w:tc>
        <w:tc>
          <w:tcPr>
            <w:tcW w:w="1558" w:type="dxa"/>
            <w:shd w:val="clear" w:color="auto" w:fill="D9D9D9"/>
            <w:vAlign w:val="center"/>
          </w:tcPr>
          <w:p w:rsidR="00442169" w:rsidRPr="00087483" w:rsidRDefault="00B84065" w:rsidP="0043512E">
            <w:pPr>
              <w:jc w:val="center"/>
              <w:rPr>
                <w:rFonts w:cs="Arial"/>
                <w:b/>
                <w:sz w:val="16"/>
                <w:szCs w:val="14"/>
              </w:rPr>
            </w:pPr>
            <w:r w:rsidRPr="00087483">
              <w:rPr>
                <w:rFonts w:cs="Arial"/>
                <w:b/>
                <w:sz w:val="16"/>
                <w:szCs w:val="14"/>
              </w:rPr>
              <w:t>TOTAL CERRADAS + ABIERTAS</w:t>
            </w:r>
          </w:p>
        </w:tc>
      </w:tr>
      <w:tr w:rsidR="00984358" w:rsidTr="0043512E"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8.1.RIESGO ANTIJURIDICO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Preventiva</w:t>
            </w: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1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0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1</w:t>
            </w:r>
          </w:p>
        </w:tc>
      </w:tr>
      <w:tr w:rsidR="00984358" w:rsidTr="0043512E"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8.2 RIESGO DE CORRUPCIÓN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Preventiva</w:t>
            </w: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2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0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2</w:t>
            </w:r>
          </w:p>
        </w:tc>
      </w:tr>
      <w:tr w:rsidR="00984358" w:rsidTr="0043512E"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6-AUDITORIA FISCAL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Correctiva</w:t>
            </w: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0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0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2</w:t>
            </w:r>
          </w:p>
        </w:tc>
      </w:tr>
      <w:tr w:rsidR="00984358" w:rsidTr="0043512E"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4. AUDITORIA EXTERNA ENTES CERTIFICADOS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Correctiva</w:t>
            </w: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1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0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8"/>
                <w:szCs w:val="14"/>
              </w:rPr>
            </w:pPr>
            <w:r w:rsidRPr="00804A51">
              <w:rPr>
                <w:rFonts w:cs="Arial"/>
                <w:sz w:val="18"/>
                <w:szCs w:val="14"/>
              </w:rPr>
              <w:t>1</w:t>
            </w:r>
          </w:p>
        </w:tc>
      </w:tr>
      <w:tr w:rsidR="00984358" w:rsidTr="0043512E">
        <w:tc>
          <w:tcPr>
            <w:tcW w:w="3924" w:type="dxa"/>
            <w:gridSpan w:val="2"/>
            <w:shd w:val="clear" w:color="auto" w:fill="D9D9D9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b/>
                <w:sz w:val="18"/>
                <w:szCs w:val="14"/>
              </w:rPr>
            </w:pPr>
            <w:r>
              <w:rPr>
                <w:rFonts w:cs="Arial"/>
                <w:b/>
                <w:sz w:val="18"/>
                <w:szCs w:val="14"/>
              </w:rPr>
              <w:t>SUBTOTAL</w:t>
            </w:r>
          </w:p>
        </w:tc>
        <w:tc>
          <w:tcPr>
            <w:tcW w:w="1026" w:type="dxa"/>
            <w:shd w:val="clear" w:color="auto" w:fill="D9D9D9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b/>
                <w:sz w:val="18"/>
                <w:szCs w:val="14"/>
              </w:rPr>
            </w:pPr>
            <w:r w:rsidRPr="00804A51">
              <w:rPr>
                <w:rFonts w:cs="Arial"/>
                <w:b/>
                <w:sz w:val="18"/>
                <w:szCs w:val="14"/>
              </w:rPr>
              <w:t>4</w:t>
            </w:r>
          </w:p>
        </w:tc>
        <w:tc>
          <w:tcPr>
            <w:tcW w:w="1389" w:type="dxa"/>
            <w:gridSpan w:val="2"/>
            <w:shd w:val="clear" w:color="auto" w:fill="D9D9D9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b/>
                <w:sz w:val="18"/>
                <w:szCs w:val="14"/>
              </w:rPr>
            </w:pPr>
            <w:r w:rsidRPr="00804A51">
              <w:rPr>
                <w:rFonts w:cs="Arial"/>
                <w:b/>
                <w:sz w:val="18"/>
                <w:szCs w:val="14"/>
              </w:rPr>
              <w:t>0</w:t>
            </w:r>
          </w:p>
        </w:tc>
        <w:tc>
          <w:tcPr>
            <w:tcW w:w="1331" w:type="dxa"/>
            <w:gridSpan w:val="2"/>
            <w:shd w:val="clear" w:color="auto" w:fill="D9D9D9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b/>
                <w:sz w:val="18"/>
                <w:szCs w:val="14"/>
              </w:rPr>
            </w:pPr>
            <w:r w:rsidRPr="00804A51">
              <w:rPr>
                <w:rFonts w:cs="Arial"/>
                <w:b/>
                <w:sz w:val="18"/>
                <w:szCs w:val="14"/>
              </w:rPr>
              <w:t>2</w:t>
            </w:r>
          </w:p>
        </w:tc>
        <w:tc>
          <w:tcPr>
            <w:tcW w:w="1558" w:type="dxa"/>
            <w:shd w:val="clear" w:color="auto" w:fill="D9D9D9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b/>
                <w:sz w:val="18"/>
                <w:szCs w:val="14"/>
              </w:rPr>
            </w:pPr>
            <w:r w:rsidRPr="00804A51">
              <w:rPr>
                <w:rFonts w:cs="Arial"/>
                <w:b/>
                <w:sz w:val="18"/>
                <w:szCs w:val="14"/>
              </w:rPr>
              <w:t>6</w:t>
            </w:r>
          </w:p>
        </w:tc>
      </w:tr>
      <w:tr w:rsidR="00984358" w:rsidTr="0043512E">
        <w:trPr>
          <w:trHeight w:val="343"/>
        </w:trPr>
        <w:tc>
          <w:tcPr>
            <w:tcW w:w="922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169" w:rsidRPr="00087483" w:rsidRDefault="00B84065" w:rsidP="004351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87483">
              <w:rPr>
                <w:rFonts w:cs="Arial"/>
                <w:b/>
                <w:sz w:val="18"/>
                <w:szCs w:val="18"/>
              </w:rPr>
              <w:lastRenderedPageBreak/>
              <w:t>HALLAZGOS INGRESADOS EN EL SEGUNDO TRIMESTRE DEL 2015</w:t>
            </w:r>
          </w:p>
          <w:p w:rsidR="00442169" w:rsidRPr="00087483" w:rsidRDefault="00B84065" w:rsidP="0043512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984358" w:rsidTr="0043512E">
        <w:trPr>
          <w:trHeight w:val="405"/>
        </w:trPr>
        <w:tc>
          <w:tcPr>
            <w:tcW w:w="39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sz w:val="14"/>
                <w:szCs w:val="14"/>
              </w:rPr>
            </w:pPr>
            <w:r w:rsidRPr="00087483">
              <w:rPr>
                <w:rFonts w:cs="Arial"/>
                <w:sz w:val="18"/>
                <w:szCs w:val="14"/>
              </w:rPr>
              <w:t xml:space="preserve">NO INGRESARON NUEVOS HALLAZGOS Y / O  </w:t>
            </w:r>
            <w:r w:rsidRPr="00087483">
              <w:rPr>
                <w:rFonts w:cs="Arial"/>
                <w:sz w:val="18"/>
                <w:szCs w:val="14"/>
              </w:rPr>
              <w:t>RIESGOS</w:t>
            </w: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087483" w:rsidRDefault="00B84065" w:rsidP="0043512E">
            <w:pPr>
              <w:jc w:val="center"/>
              <w:rPr>
                <w:rFonts w:cs="Arial"/>
                <w:sz w:val="18"/>
                <w:szCs w:val="18"/>
              </w:rPr>
            </w:pPr>
            <w:r w:rsidRPr="0008748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087483" w:rsidRDefault="00B84065" w:rsidP="0043512E">
            <w:pPr>
              <w:jc w:val="center"/>
              <w:rPr>
                <w:rFonts w:cs="Arial"/>
                <w:sz w:val="18"/>
                <w:szCs w:val="18"/>
              </w:rPr>
            </w:pPr>
            <w:r w:rsidRPr="0008748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087483" w:rsidRDefault="00B84065" w:rsidP="0043512E">
            <w:pPr>
              <w:jc w:val="center"/>
              <w:rPr>
                <w:rFonts w:cs="Arial"/>
                <w:sz w:val="18"/>
                <w:szCs w:val="18"/>
              </w:rPr>
            </w:pPr>
            <w:r w:rsidRPr="0008748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169" w:rsidRPr="00087483" w:rsidRDefault="00B84065" w:rsidP="0043512E">
            <w:pPr>
              <w:jc w:val="center"/>
              <w:rPr>
                <w:rFonts w:cs="Arial"/>
                <w:sz w:val="18"/>
                <w:szCs w:val="18"/>
              </w:rPr>
            </w:pPr>
            <w:r w:rsidRPr="00087483">
              <w:rPr>
                <w:rFonts w:cs="Arial"/>
                <w:sz w:val="18"/>
                <w:szCs w:val="18"/>
              </w:rPr>
              <w:t>0</w:t>
            </w:r>
          </w:p>
        </w:tc>
      </w:tr>
      <w:tr w:rsidR="00984358" w:rsidTr="0043512E">
        <w:tc>
          <w:tcPr>
            <w:tcW w:w="3924" w:type="dxa"/>
            <w:gridSpan w:val="2"/>
            <w:shd w:val="clear" w:color="auto" w:fill="D9D9D9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87483">
              <w:rPr>
                <w:rFonts w:cs="Arial"/>
                <w:b/>
                <w:sz w:val="18"/>
                <w:szCs w:val="14"/>
              </w:rPr>
              <w:t>TOTAL GENERAL</w:t>
            </w:r>
          </w:p>
        </w:tc>
        <w:tc>
          <w:tcPr>
            <w:tcW w:w="1026" w:type="dxa"/>
            <w:shd w:val="clear" w:color="auto" w:fill="D9D9D9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b/>
                <w:sz w:val="18"/>
                <w:szCs w:val="14"/>
              </w:rPr>
            </w:pPr>
            <w:r w:rsidRPr="00804A51">
              <w:rPr>
                <w:rFonts w:cs="Arial"/>
                <w:b/>
                <w:sz w:val="18"/>
                <w:szCs w:val="14"/>
              </w:rPr>
              <w:t>4</w:t>
            </w:r>
          </w:p>
        </w:tc>
        <w:tc>
          <w:tcPr>
            <w:tcW w:w="1389" w:type="dxa"/>
            <w:gridSpan w:val="2"/>
            <w:shd w:val="clear" w:color="auto" w:fill="D9D9D9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b/>
                <w:sz w:val="18"/>
                <w:szCs w:val="14"/>
              </w:rPr>
            </w:pPr>
            <w:r w:rsidRPr="00804A51">
              <w:rPr>
                <w:rFonts w:cs="Arial"/>
                <w:b/>
                <w:sz w:val="18"/>
                <w:szCs w:val="14"/>
              </w:rPr>
              <w:t>0</w:t>
            </w:r>
          </w:p>
        </w:tc>
        <w:tc>
          <w:tcPr>
            <w:tcW w:w="1331" w:type="dxa"/>
            <w:gridSpan w:val="2"/>
            <w:shd w:val="clear" w:color="auto" w:fill="D9D9D9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b/>
                <w:sz w:val="18"/>
                <w:szCs w:val="14"/>
              </w:rPr>
            </w:pPr>
            <w:r w:rsidRPr="00804A51">
              <w:rPr>
                <w:rFonts w:cs="Arial"/>
                <w:b/>
                <w:sz w:val="18"/>
                <w:szCs w:val="14"/>
              </w:rPr>
              <w:t>2</w:t>
            </w:r>
          </w:p>
        </w:tc>
        <w:tc>
          <w:tcPr>
            <w:tcW w:w="1558" w:type="dxa"/>
            <w:shd w:val="clear" w:color="auto" w:fill="D9D9D9"/>
            <w:vAlign w:val="center"/>
          </w:tcPr>
          <w:p w:rsidR="00442169" w:rsidRPr="00804A51" w:rsidRDefault="00B84065" w:rsidP="0043512E">
            <w:pPr>
              <w:jc w:val="center"/>
              <w:rPr>
                <w:rFonts w:cs="Arial"/>
                <w:b/>
                <w:sz w:val="18"/>
                <w:szCs w:val="14"/>
              </w:rPr>
            </w:pPr>
            <w:r w:rsidRPr="00804A51">
              <w:rPr>
                <w:rFonts w:cs="Arial"/>
                <w:b/>
                <w:sz w:val="18"/>
                <w:szCs w:val="14"/>
              </w:rPr>
              <w:t>6</w:t>
            </w:r>
          </w:p>
        </w:tc>
      </w:tr>
    </w:tbl>
    <w:p w:rsidR="00442169" w:rsidRDefault="00B84065" w:rsidP="00442169">
      <w:pPr>
        <w:jc w:val="both"/>
        <w:rPr>
          <w:rFonts w:cs="Arial"/>
          <w:sz w:val="14"/>
          <w:szCs w:val="14"/>
        </w:rPr>
      </w:pPr>
      <w:r w:rsidRPr="00A9322E">
        <w:rPr>
          <w:rFonts w:cs="Arial"/>
          <w:sz w:val="14"/>
          <w:szCs w:val="14"/>
        </w:rPr>
        <w:t>Fuente: Reporte Anexo 1 PM Proceso  de Responsabilidad Fiscal y Jurisdicción Coactiva</w:t>
      </w:r>
    </w:p>
    <w:p w:rsidR="00442169" w:rsidRPr="00C24125" w:rsidRDefault="00B84065" w:rsidP="00442169">
      <w:pPr>
        <w:jc w:val="both"/>
        <w:rPr>
          <w:rFonts w:cs="Arial"/>
          <w:sz w:val="14"/>
          <w:szCs w:val="14"/>
        </w:rPr>
      </w:pPr>
      <w:r>
        <w:rPr>
          <w:rFonts w:cs="Arial"/>
        </w:rPr>
        <w:t>A</w:t>
      </w:r>
      <w:r w:rsidRPr="00BF61E5">
        <w:rPr>
          <w:rFonts w:cs="Arial"/>
        </w:rPr>
        <w:t xml:space="preserve"> continuación se detalla el estado de cada uno de los hallazgos, no conformidades y/o riesgos incluidos en el Plan de Mejoramiento – Acciones Correctivas, Preventivas y de Mejora del Proceso de Responsabilidad Fiscal y Jurisdicción Coactiva.</w:t>
      </w:r>
    </w:p>
    <w:p w:rsidR="00442169" w:rsidRPr="00BF61E5" w:rsidRDefault="00B84065" w:rsidP="00442169">
      <w:pPr>
        <w:jc w:val="both"/>
        <w:rPr>
          <w:rFonts w:cs="Arial"/>
          <w:highlight w:val="yellow"/>
        </w:rPr>
      </w:pPr>
    </w:p>
    <w:p w:rsidR="00442169" w:rsidRPr="00442169" w:rsidRDefault="00B84065" w:rsidP="00442169">
      <w:pPr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442169">
        <w:rPr>
          <w:rFonts w:cs="Arial"/>
          <w:b/>
          <w:sz w:val="22"/>
        </w:rPr>
        <w:t>ACCIONES CORR</w:t>
      </w:r>
      <w:r w:rsidRPr="00442169">
        <w:rPr>
          <w:rFonts w:cs="Arial"/>
          <w:b/>
          <w:sz w:val="22"/>
        </w:rPr>
        <w:t>ECTIVAS</w:t>
      </w:r>
    </w:p>
    <w:p w:rsidR="00442169" w:rsidRPr="00BF61E5" w:rsidRDefault="00B84065" w:rsidP="00442169">
      <w:pPr>
        <w:jc w:val="both"/>
        <w:rPr>
          <w:rFonts w:cs="Arial"/>
          <w:b/>
        </w:rPr>
      </w:pPr>
    </w:p>
    <w:p w:rsidR="00442169" w:rsidRPr="00BF61E5" w:rsidRDefault="00B84065" w:rsidP="00442169">
      <w:pPr>
        <w:jc w:val="both"/>
        <w:rPr>
          <w:rFonts w:cs="Arial"/>
          <w:b/>
        </w:rPr>
      </w:pPr>
      <w:r w:rsidRPr="00BF61E5">
        <w:rPr>
          <w:rFonts w:cs="Arial"/>
          <w:b/>
        </w:rPr>
        <w:t xml:space="preserve">1.1  Acción Correctiva </w:t>
      </w:r>
    </w:p>
    <w:p w:rsidR="00442169" w:rsidRPr="00BF61E5" w:rsidRDefault="00B84065" w:rsidP="00442169">
      <w:pPr>
        <w:tabs>
          <w:tab w:val="left" w:pos="3400"/>
        </w:tabs>
        <w:jc w:val="both"/>
        <w:rPr>
          <w:rFonts w:cs="Arial"/>
          <w:b/>
        </w:rPr>
      </w:pPr>
    </w:p>
    <w:p w:rsidR="00442169" w:rsidRPr="00BF61E5" w:rsidRDefault="00B84065" w:rsidP="00442169">
      <w:pPr>
        <w:tabs>
          <w:tab w:val="left" w:pos="3400"/>
        </w:tabs>
        <w:jc w:val="both"/>
        <w:rPr>
          <w:rFonts w:cs="Arial"/>
          <w:b/>
        </w:rPr>
      </w:pPr>
      <w:r w:rsidRPr="00BF61E5">
        <w:rPr>
          <w:rFonts w:cs="Arial"/>
          <w:b/>
        </w:rPr>
        <w:t>Origen 6 - Auditoria fiscal:</w:t>
      </w:r>
      <w:r w:rsidRPr="00BF61E5">
        <w:rPr>
          <w:rFonts w:cs="Arial"/>
          <w:b/>
        </w:rPr>
        <w:tab/>
      </w:r>
    </w:p>
    <w:p w:rsidR="00442169" w:rsidRPr="00BF61E5" w:rsidRDefault="00B84065" w:rsidP="00442169">
      <w:pPr>
        <w:tabs>
          <w:tab w:val="left" w:pos="3400"/>
        </w:tabs>
        <w:jc w:val="both"/>
        <w:rPr>
          <w:rFonts w:cs="Arial"/>
          <w:b/>
        </w:rPr>
      </w:pPr>
    </w:p>
    <w:p w:rsidR="00442169" w:rsidRPr="00087483" w:rsidRDefault="00B84065" w:rsidP="00442169">
      <w:pPr>
        <w:ind w:left="426"/>
        <w:jc w:val="both"/>
        <w:rPr>
          <w:rFonts w:cs="Arial"/>
          <w:b/>
          <w:sz w:val="22"/>
        </w:rPr>
      </w:pPr>
      <w:r w:rsidRPr="00087483">
        <w:rPr>
          <w:rFonts w:cs="Arial"/>
          <w:b/>
          <w:sz w:val="22"/>
        </w:rPr>
        <w:t xml:space="preserve">Hallazgo: </w:t>
      </w:r>
      <w:r w:rsidRPr="006F7A93">
        <w:rPr>
          <w:rFonts w:cs="Arial"/>
          <w:i/>
          <w:color w:val="0D0D0D"/>
          <w:sz w:val="22"/>
        </w:rPr>
        <w:t>2.1.8.1.</w:t>
      </w:r>
      <w:r w:rsidRPr="00087483">
        <w:rPr>
          <w:rFonts w:cs="Arial"/>
          <w:i/>
          <w:sz w:val="22"/>
        </w:rPr>
        <w:t xml:space="preserve"> Hallazgo administrativo originado en la no estructuración ni incorporación de la información base en software "RELCO", así como la no puesta a disposición del aplicativo a los equipos auditores como herramienta para el ejercicio fiscalizador</w:t>
      </w:r>
      <w:r w:rsidRPr="00087483">
        <w:rPr>
          <w:rFonts w:cs="Arial"/>
          <w:sz w:val="22"/>
        </w:rPr>
        <w:t>.</w:t>
      </w:r>
    </w:p>
    <w:p w:rsidR="00442169" w:rsidRPr="00087483" w:rsidRDefault="00B84065" w:rsidP="00442169">
      <w:pPr>
        <w:ind w:left="720"/>
        <w:jc w:val="both"/>
        <w:rPr>
          <w:rFonts w:cs="Arial"/>
          <w:b/>
          <w:sz w:val="22"/>
        </w:rPr>
      </w:pPr>
    </w:p>
    <w:p w:rsidR="00442169" w:rsidRPr="00087483" w:rsidRDefault="00B84065" w:rsidP="00442169">
      <w:pPr>
        <w:jc w:val="both"/>
        <w:rPr>
          <w:rFonts w:cs="Arial"/>
          <w:sz w:val="22"/>
        </w:rPr>
      </w:pPr>
      <w:r w:rsidRPr="00087483">
        <w:rPr>
          <w:rFonts w:cs="Arial"/>
          <w:b/>
          <w:sz w:val="22"/>
        </w:rPr>
        <w:t>Acción:</w:t>
      </w:r>
      <w:r w:rsidRPr="00087483">
        <w:rPr>
          <w:rFonts w:cs="Arial"/>
          <w:i/>
          <w:sz w:val="20"/>
          <w:szCs w:val="22"/>
        </w:rPr>
        <w:t xml:space="preserve"> </w:t>
      </w:r>
      <w:r w:rsidRPr="00087483">
        <w:rPr>
          <w:rFonts w:cs="Arial"/>
          <w:b/>
          <w:sz w:val="22"/>
        </w:rPr>
        <w:t>“</w:t>
      </w:r>
      <w:r w:rsidRPr="00087483">
        <w:rPr>
          <w:rFonts w:cs="Arial"/>
          <w:i/>
          <w:sz w:val="22"/>
        </w:rPr>
        <w:t>Al</w:t>
      </w:r>
      <w:r w:rsidRPr="00087483">
        <w:rPr>
          <w:rFonts w:cs="Arial"/>
          <w:i/>
          <w:sz w:val="22"/>
        </w:rPr>
        <w:t>imentar el aplicativo RELCO con los fallos ejecutoriados proferidos durante las vigencias 2011 y 2012".</w:t>
      </w:r>
    </w:p>
    <w:p w:rsidR="00442169" w:rsidRPr="00BF61E5" w:rsidRDefault="00B84065" w:rsidP="00442169">
      <w:pPr>
        <w:tabs>
          <w:tab w:val="left" w:pos="6542"/>
        </w:tabs>
        <w:jc w:val="both"/>
        <w:rPr>
          <w:rFonts w:cs="Arial"/>
          <w:sz w:val="22"/>
          <w:szCs w:val="22"/>
        </w:rPr>
      </w:pPr>
      <w:r w:rsidRPr="00BE7F5F">
        <w:rPr>
          <w:rFonts w:cs="Arial"/>
        </w:rPr>
        <w:tab/>
      </w:r>
    </w:p>
    <w:p w:rsidR="00442169" w:rsidRPr="00BF61E5" w:rsidRDefault="00B84065" w:rsidP="00442169">
      <w:pPr>
        <w:jc w:val="both"/>
        <w:rPr>
          <w:rFonts w:cs="Arial"/>
        </w:rPr>
      </w:pPr>
      <w:r w:rsidRPr="00032DD1">
        <w:rPr>
          <w:rFonts w:cs="Arial"/>
          <w:b/>
        </w:rPr>
        <w:t xml:space="preserve">Verificación a </w:t>
      </w:r>
      <w:r>
        <w:rPr>
          <w:rFonts w:cs="Arial"/>
          <w:b/>
        </w:rPr>
        <w:t>junio</w:t>
      </w:r>
      <w:r w:rsidRPr="00032DD1">
        <w:rPr>
          <w:rFonts w:cs="Arial"/>
          <w:b/>
        </w:rPr>
        <w:t xml:space="preserve"> de 2015: </w:t>
      </w:r>
      <w:r w:rsidRPr="0084740E">
        <w:rPr>
          <w:rFonts w:cs="Arial"/>
        </w:rPr>
        <w:t>Por</w:t>
      </w:r>
      <w:r>
        <w:rPr>
          <w:rFonts w:cs="Arial"/>
        </w:rPr>
        <w:t xml:space="preserve"> considerarse cumplida la acción, se reitera</w:t>
      </w:r>
      <w:r w:rsidRPr="00BF61E5">
        <w:rPr>
          <w:rFonts w:cs="Arial"/>
        </w:rPr>
        <w:t xml:space="preserve"> la solicitud de cierre a la Auditoría Fiscal, y se está a la espera de una  r</w:t>
      </w:r>
      <w:r>
        <w:rPr>
          <w:rFonts w:cs="Arial"/>
        </w:rPr>
        <w:t>espuesta por parte de éste ente de control.</w:t>
      </w:r>
    </w:p>
    <w:p w:rsidR="00442169" w:rsidRPr="00087483" w:rsidRDefault="00B84065" w:rsidP="00442169">
      <w:pPr>
        <w:tabs>
          <w:tab w:val="left" w:pos="3400"/>
        </w:tabs>
        <w:jc w:val="both"/>
        <w:rPr>
          <w:rFonts w:cs="Arial"/>
          <w:b/>
          <w:sz w:val="22"/>
        </w:rPr>
      </w:pPr>
    </w:p>
    <w:p w:rsidR="00442169" w:rsidRPr="00087483" w:rsidRDefault="00B84065" w:rsidP="00442169">
      <w:pPr>
        <w:ind w:left="426"/>
        <w:jc w:val="both"/>
        <w:rPr>
          <w:rFonts w:cs="Arial"/>
          <w:b/>
          <w:i/>
          <w:sz w:val="22"/>
        </w:rPr>
      </w:pPr>
      <w:r w:rsidRPr="00087483">
        <w:rPr>
          <w:rFonts w:cs="Arial"/>
          <w:b/>
          <w:sz w:val="22"/>
        </w:rPr>
        <w:t xml:space="preserve">Hallazgo </w:t>
      </w:r>
      <w:r w:rsidRPr="006F7A93">
        <w:rPr>
          <w:rFonts w:cs="Arial"/>
          <w:b/>
          <w:i/>
          <w:color w:val="0D0D0D"/>
          <w:sz w:val="22"/>
        </w:rPr>
        <w:t>2.10.1.1</w:t>
      </w:r>
      <w:r w:rsidRPr="00087483">
        <w:rPr>
          <w:rFonts w:cs="Arial"/>
          <w:b/>
          <w:i/>
          <w:sz w:val="22"/>
        </w:rPr>
        <w:t xml:space="preserve"> </w:t>
      </w:r>
      <w:r w:rsidRPr="00087483">
        <w:rPr>
          <w:rFonts w:cs="Arial"/>
          <w:i/>
          <w:sz w:val="22"/>
        </w:rPr>
        <w:t xml:space="preserve">Ocurrencia del fenómeno de la prescripción en un proceso de responsabilidad fiscal”. </w:t>
      </w:r>
      <w:r w:rsidRPr="00087483">
        <w:rPr>
          <w:rFonts w:cs="Arial"/>
          <w:b/>
          <w:i/>
          <w:sz w:val="22"/>
        </w:rPr>
        <w:t xml:space="preserve"> </w:t>
      </w:r>
    </w:p>
    <w:p w:rsidR="00442169" w:rsidRPr="00087483" w:rsidRDefault="00B84065" w:rsidP="00442169">
      <w:pPr>
        <w:jc w:val="both"/>
        <w:rPr>
          <w:rFonts w:cs="Arial"/>
          <w:b/>
          <w:i/>
          <w:sz w:val="22"/>
        </w:rPr>
      </w:pPr>
    </w:p>
    <w:p w:rsidR="00442169" w:rsidRPr="00087483" w:rsidRDefault="00B84065" w:rsidP="00442169">
      <w:pPr>
        <w:jc w:val="both"/>
        <w:rPr>
          <w:rFonts w:cs="Arial"/>
          <w:i/>
          <w:sz w:val="22"/>
        </w:rPr>
      </w:pPr>
      <w:r w:rsidRPr="00087483">
        <w:rPr>
          <w:rFonts w:cs="Arial"/>
          <w:b/>
          <w:sz w:val="22"/>
        </w:rPr>
        <w:t>Acción:</w:t>
      </w:r>
      <w:r w:rsidRPr="00087483">
        <w:rPr>
          <w:rFonts w:cs="Arial"/>
          <w:i/>
          <w:sz w:val="20"/>
          <w:szCs w:val="22"/>
        </w:rPr>
        <w:t xml:space="preserve"> </w:t>
      </w:r>
      <w:r w:rsidRPr="00087483">
        <w:rPr>
          <w:rFonts w:cs="Arial"/>
          <w:b/>
          <w:i/>
          <w:sz w:val="20"/>
          <w:szCs w:val="22"/>
        </w:rPr>
        <w:t>“</w:t>
      </w:r>
      <w:r w:rsidRPr="00087483">
        <w:rPr>
          <w:rFonts w:cs="Arial"/>
          <w:i/>
          <w:sz w:val="22"/>
        </w:rPr>
        <w:t>Realizar mesas men</w:t>
      </w:r>
      <w:r w:rsidRPr="00087483">
        <w:rPr>
          <w:rFonts w:cs="Arial"/>
          <w:i/>
          <w:sz w:val="22"/>
        </w:rPr>
        <w:t>suales de trabajo a fin de sensibilizar a los abogados sobre el estricto cumplimiento de los términos procesales, al tiempo que se determine el nivel avance de las actividades  y el impulso dado a las mismas.”</w:t>
      </w:r>
    </w:p>
    <w:p w:rsidR="00442169" w:rsidRPr="00AD164E" w:rsidRDefault="00B84065" w:rsidP="00442169">
      <w:pPr>
        <w:jc w:val="both"/>
        <w:rPr>
          <w:rFonts w:cs="Arial"/>
          <w:sz w:val="22"/>
          <w:szCs w:val="22"/>
        </w:rPr>
      </w:pPr>
    </w:p>
    <w:p w:rsidR="00442169" w:rsidRPr="00AD164E" w:rsidRDefault="00B84065" w:rsidP="00442169">
      <w:pPr>
        <w:jc w:val="both"/>
        <w:rPr>
          <w:rFonts w:cs="Arial"/>
        </w:rPr>
      </w:pPr>
      <w:r w:rsidRPr="00AD164E">
        <w:rPr>
          <w:rFonts w:cs="Arial"/>
          <w:b/>
        </w:rPr>
        <w:t xml:space="preserve">Verificación a junio de 2015: </w:t>
      </w:r>
      <w:r w:rsidRPr="00AD164E">
        <w:rPr>
          <w:rFonts w:cs="Arial"/>
        </w:rPr>
        <w:t>Por considerars</w:t>
      </w:r>
      <w:r w:rsidRPr="00AD164E">
        <w:rPr>
          <w:rFonts w:cs="Arial"/>
        </w:rPr>
        <w:t>e cumplida la acción, se reitera la solicitud de cierre a la Auditoría Fiscal, y se está a la espera de una  respuesta por parte de éste ente de control.</w:t>
      </w:r>
    </w:p>
    <w:p w:rsidR="00442169" w:rsidRPr="00AD164E" w:rsidRDefault="00B84065" w:rsidP="00442169">
      <w:pPr>
        <w:jc w:val="both"/>
        <w:rPr>
          <w:rFonts w:cs="Arial"/>
        </w:rPr>
      </w:pPr>
    </w:p>
    <w:p w:rsidR="00442169" w:rsidRPr="00AD164E" w:rsidRDefault="00B84065" w:rsidP="00442169">
      <w:pPr>
        <w:tabs>
          <w:tab w:val="left" w:pos="3400"/>
        </w:tabs>
        <w:jc w:val="both"/>
        <w:rPr>
          <w:rFonts w:cs="Arial"/>
          <w:b/>
        </w:rPr>
      </w:pPr>
      <w:r w:rsidRPr="00AD164E">
        <w:rPr>
          <w:rFonts w:cs="Arial"/>
          <w:b/>
        </w:rPr>
        <w:t xml:space="preserve">Origen 4 - Auditoria externa  </w:t>
      </w:r>
      <w:r>
        <w:rPr>
          <w:rFonts w:cs="Arial"/>
          <w:b/>
        </w:rPr>
        <w:t>Ente</w:t>
      </w:r>
      <w:r w:rsidRPr="00AD164E">
        <w:rPr>
          <w:rFonts w:cs="Arial"/>
          <w:b/>
        </w:rPr>
        <w:t xml:space="preserve"> certificado</w:t>
      </w:r>
      <w:r>
        <w:rPr>
          <w:rFonts w:cs="Arial"/>
          <w:b/>
        </w:rPr>
        <w:t>r</w:t>
      </w:r>
      <w:r w:rsidRPr="00AD164E">
        <w:rPr>
          <w:rFonts w:cs="Arial"/>
          <w:b/>
        </w:rPr>
        <w:t>:</w:t>
      </w:r>
      <w:r w:rsidRPr="00AD164E">
        <w:rPr>
          <w:rFonts w:cs="Arial"/>
          <w:b/>
        </w:rPr>
        <w:tab/>
      </w:r>
    </w:p>
    <w:p w:rsidR="00442169" w:rsidRPr="00AD164E" w:rsidRDefault="00B84065" w:rsidP="00442169">
      <w:pPr>
        <w:tabs>
          <w:tab w:val="left" w:pos="3400"/>
        </w:tabs>
        <w:jc w:val="both"/>
        <w:rPr>
          <w:rFonts w:cs="Arial"/>
          <w:b/>
        </w:rPr>
      </w:pPr>
    </w:p>
    <w:p w:rsidR="00442169" w:rsidRPr="00087483" w:rsidRDefault="00B84065" w:rsidP="00442169">
      <w:pPr>
        <w:tabs>
          <w:tab w:val="left" w:pos="5148"/>
        </w:tabs>
        <w:ind w:left="708"/>
        <w:jc w:val="both"/>
        <w:rPr>
          <w:rFonts w:cs="Arial"/>
          <w:i/>
          <w:sz w:val="22"/>
        </w:rPr>
      </w:pPr>
      <w:r>
        <w:rPr>
          <w:rFonts w:cs="Arial"/>
          <w:b/>
          <w:sz w:val="22"/>
        </w:rPr>
        <w:t xml:space="preserve">No Conformidad Menor – </w:t>
      </w:r>
      <w:r w:rsidRPr="00087483">
        <w:rPr>
          <w:rFonts w:cs="Arial"/>
          <w:b/>
          <w:sz w:val="22"/>
        </w:rPr>
        <w:t xml:space="preserve"> </w:t>
      </w:r>
      <w:r w:rsidRPr="00087483">
        <w:rPr>
          <w:rFonts w:cs="Arial"/>
          <w:i/>
          <w:sz w:val="22"/>
        </w:rPr>
        <w:t>“Los siguientes indicadores y metas respectivas del proceso de RESPONSABILIDAD FISCAL Y JURISDICCIÓN COACTIVA, presentan las siguientes deficiencias: • No se evidencia datos que permitan demostrar el resultado de 80%, para el indicador propuesto: Número de</w:t>
      </w:r>
      <w:r w:rsidRPr="00087483">
        <w:rPr>
          <w:rFonts w:cs="Arial"/>
          <w:i/>
          <w:sz w:val="22"/>
        </w:rPr>
        <w:t xml:space="preserve"> solicitudes de prórroga </w:t>
      </w:r>
      <w:r w:rsidRPr="00087483">
        <w:rPr>
          <w:rFonts w:cs="Arial"/>
          <w:i/>
          <w:sz w:val="22"/>
        </w:rPr>
        <w:lastRenderedPageBreak/>
        <w:t xml:space="preserve">para devolverlo, hallazgos o indagaciones preliminares, auto de apertura, e imputación / Número de insumos de insumos en trámites. </w:t>
      </w:r>
    </w:p>
    <w:p w:rsidR="00442169" w:rsidRPr="00087483" w:rsidRDefault="00B84065" w:rsidP="00442169">
      <w:pPr>
        <w:tabs>
          <w:tab w:val="left" w:pos="5148"/>
        </w:tabs>
        <w:ind w:left="708"/>
        <w:jc w:val="both"/>
        <w:rPr>
          <w:rFonts w:cs="Arial"/>
          <w:i/>
          <w:sz w:val="22"/>
        </w:rPr>
      </w:pPr>
      <w:r w:rsidRPr="00087483">
        <w:rPr>
          <w:rFonts w:cs="Arial"/>
          <w:i/>
          <w:sz w:val="22"/>
        </w:rPr>
        <w:t>• El indicador número de jornadas periódicas de sensibilización, en temas de aplicación de principi</w:t>
      </w:r>
      <w:r w:rsidRPr="00087483">
        <w:rPr>
          <w:rFonts w:cs="Arial"/>
          <w:i/>
          <w:sz w:val="22"/>
        </w:rPr>
        <w:t>os y valores, y conocimientos de normas disciplinarias, y penales realizadas más un memorando dirigido a la dirección de talento humano. Presenta una meta del 100%. Dicha meta no es coherente con el indicador.</w:t>
      </w:r>
    </w:p>
    <w:p w:rsidR="00442169" w:rsidRPr="00087483" w:rsidRDefault="00B84065" w:rsidP="00442169">
      <w:pPr>
        <w:tabs>
          <w:tab w:val="left" w:pos="5148"/>
        </w:tabs>
        <w:ind w:left="708"/>
        <w:jc w:val="both"/>
        <w:rPr>
          <w:rFonts w:cs="Arial"/>
          <w:i/>
          <w:sz w:val="22"/>
        </w:rPr>
      </w:pPr>
      <w:r w:rsidRPr="00087483">
        <w:rPr>
          <w:rFonts w:cs="Arial"/>
          <w:i/>
          <w:sz w:val="22"/>
        </w:rPr>
        <w:t>Lo anterior incumple con el numeral 8.2.3 de l</w:t>
      </w:r>
      <w:r w:rsidRPr="00087483">
        <w:rPr>
          <w:rFonts w:cs="Arial"/>
          <w:i/>
          <w:sz w:val="22"/>
        </w:rPr>
        <w:t>a norma ISO 9001 ver 2008 y la GP 1000”.</w:t>
      </w:r>
    </w:p>
    <w:p w:rsidR="00442169" w:rsidRPr="00AD164E" w:rsidRDefault="00B84065" w:rsidP="00442169">
      <w:pPr>
        <w:tabs>
          <w:tab w:val="left" w:pos="5148"/>
        </w:tabs>
        <w:jc w:val="both"/>
        <w:rPr>
          <w:rFonts w:cs="Arial"/>
          <w:i/>
        </w:rPr>
      </w:pPr>
    </w:p>
    <w:p w:rsidR="00442169" w:rsidRPr="00087483" w:rsidRDefault="00B84065" w:rsidP="00442169">
      <w:pPr>
        <w:jc w:val="both"/>
        <w:rPr>
          <w:rFonts w:cs="Arial"/>
          <w:i/>
          <w:sz w:val="22"/>
        </w:rPr>
      </w:pPr>
      <w:r w:rsidRPr="00087483">
        <w:rPr>
          <w:rFonts w:cs="Arial"/>
          <w:b/>
          <w:sz w:val="22"/>
        </w:rPr>
        <w:t>Acción</w:t>
      </w:r>
      <w:r w:rsidRPr="00087483">
        <w:rPr>
          <w:rFonts w:cs="Arial"/>
          <w:i/>
          <w:sz w:val="22"/>
        </w:rPr>
        <w:t>: Verificar que los reportes y el análisis realizado a las acciones del anexo 1 - Plan de Mejoramiento sean coherentes con la meta y el indicador plenateado, asegurando la conservación de los registros que ev</w:t>
      </w:r>
      <w:r w:rsidRPr="00087483">
        <w:rPr>
          <w:rFonts w:cs="Arial"/>
          <w:i/>
          <w:sz w:val="22"/>
        </w:rPr>
        <w:t>idencian la información relacionada.</w:t>
      </w:r>
    </w:p>
    <w:p w:rsidR="00442169" w:rsidRPr="00AD164E" w:rsidRDefault="00B84065" w:rsidP="00442169">
      <w:pPr>
        <w:jc w:val="both"/>
        <w:rPr>
          <w:rFonts w:cs="Arial"/>
          <w:i/>
        </w:rPr>
      </w:pPr>
    </w:p>
    <w:p w:rsidR="00442169" w:rsidRPr="00AD164E" w:rsidRDefault="00B84065" w:rsidP="00442169">
      <w:pPr>
        <w:jc w:val="both"/>
        <w:rPr>
          <w:rFonts w:cs="Arial"/>
        </w:rPr>
      </w:pPr>
      <w:r w:rsidRPr="00AD164E">
        <w:rPr>
          <w:rFonts w:cs="Arial"/>
          <w:b/>
        </w:rPr>
        <w:t xml:space="preserve">Verificación a junio 15 de 2015: </w:t>
      </w:r>
      <w:r w:rsidRPr="00AD164E">
        <w:rPr>
          <w:rFonts w:cs="Arial"/>
        </w:rPr>
        <w:t xml:space="preserve">Se verificó el Memorando de  junio 23 de 2015, remitido por la </w:t>
      </w:r>
      <w:r>
        <w:rPr>
          <w:rFonts w:cs="Arial"/>
        </w:rPr>
        <w:t>S</w:t>
      </w:r>
      <w:r w:rsidRPr="00AD164E">
        <w:rPr>
          <w:rFonts w:cs="Arial"/>
        </w:rPr>
        <w:t xml:space="preserve">ubdirección de </w:t>
      </w:r>
      <w:r>
        <w:rPr>
          <w:rFonts w:cs="Arial"/>
        </w:rPr>
        <w:t>R</w:t>
      </w:r>
      <w:r w:rsidRPr="00AD164E">
        <w:rPr>
          <w:rFonts w:cs="Arial"/>
        </w:rPr>
        <w:t xml:space="preserve">esponsabilidad Fiscala y dirigido a la Dirección de Responsabilidad Fiscal y Jurisdicción Coactiva, con </w:t>
      </w:r>
      <w:r w:rsidRPr="00AD164E">
        <w:rPr>
          <w:rFonts w:cs="Arial"/>
        </w:rPr>
        <w:t>el cual se remite el plan de Mejoramiento correspondiente  al periodo del 21 de marzo al 19 de junio del presente año.</w:t>
      </w:r>
      <w:r>
        <w:rPr>
          <w:rFonts w:cs="Arial"/>
        </w:rPr>
        <w:t xml:space="preserve"> La No conformidad menor </w:t>
      </w:r>
      <w:r w:rsidRPr="00AD164E">
        <w:rPr>
          <w:rFonts w:cs="Arial"/>
        </w:rPr>
        <w:t>continúa abierto para seguimiento.</w:t>
      </w:r>
    </w:p>
    <w:p w:rsidR="00442169" w:rsidRPr="00AD164E" w:rsidRDefault="00B84065" w:rsidP="00442169">
      <w:pPr>
        <w:jc w:val="both"/>
        <w:rPr>
          <w:rFonts w:cs="Arial"/>
        </w:rPr>
      </w:pPr>
    </w:p>
    <w:p w:rsidR="00442169" w:rsidRPr="00AD164E" w:rsidRDefault="00B84065" w:rsidP="00442169">
      <w:pPr>
        <w:numPr>
          <w:ilvl w:val="0"/>
          <w:numId w:val="1"/>
        </w:numPr>
        <w:jc w:val="both"/>
        <w:rPr>
          <w:rFonts w:cs="Arial"/>
          <w:b/>
        </w:rPr>
      </w:pPr>
      <w:r w:rsidRPr="00AD164E">
        <w:rPr>
          <w:rFonts w:cs="Arial"/>
          <w:b/>
        </w:rPr>
        <w:t>ACCIONES PREVENTIVAS</w:t>
      </w:r>
    </w:p>
    <w:p w:rsidR="00442169" w:rsidRPr="00AD164E" w:rsidRDefault="00B84065" w:rsidP="00442169">
      <w:pPr>
        <w:jc w:val="both"/>
        <w:rPr>
          <w:rFonts w:cs="Arial"/>
          <w:b/>
        </w:rPr>
      </w:pPr>
    </w:p>
    <w:p w:rsidR="00442169" w:rsidRPr="00AD164E" w:rsidRDefault="00B84065" w:rsidP="00442169">
      <w:pPr>
        <w:jc w:val="both"/>
        <w:rPr>
          <w:rFonts w:cs="Arial"/>
          <w:b/>
        </w:rPr>
      </w:pPr>
      <w:r w:rsidRPr="00AD164E">
        <w:rPr>
          <w:rFonts w:cs="Arial"/>
          <w:b/>
        </w:rPr>
        <w:t xml:space="preserve">2.1  Acción Preventiva </w:t>
      </w:r>
    </w:p>
    <w:p w:rsidR="00442169" w:rsidRPr="00AD164E" w:rsidRDefault="00B84065" w:rsidP="00442169">
      <w:pPr>
        <w:tabs>
          <w:tab w:val="left" w:pos="3400"/>
        </w:tabs>
        <w:jc w:val="both"/>
        <w:rPr>
          <w:rFonts w:cs="Arial"/>
          <w:b/>
        </w:rPr>
      </w:pPr>
    </w:p>
    <w:p w:rsidR="00442169" w:rsidRPr="00AD164E" w:rsidRDefault="00B84065" w:rsidP="00442169">
      <w:pPr>
        <w:tabs>
          <w:tab w:val="left" w:pos="3400"/>
        </w:tabs>
        <w:jc w:val="both"/>
        <w:rPr>
          <w:rFonts w:cs="Arial"/>
          <w:b/>
        </w:rPr>
      </w:pPr>
      <w:r w:rsidRPr="00AD164E">
        <w:rPr>
          <w:rFonts w:cs="Arial"/>
          <w:b/>
        </w:rPr>
        <w:t>Origen 8.1 - Riesgo Antijurídi</w:t>
      </w:r>
      <w:r w:rsidRPr="00AD164E">
        <w:rPr>
          <w:rFonts w:cs="Arial"/>
          <w:b/>
        </w:rPr>
        <w:t>co:</w:t>
      </w:r>
      <w:r w:rsidRPr="00AD164E">
        <w:rPr>
          <w:rFonts w:cs="Arial"/>
          <w:b/>
        </w:rPr>
        <w:tab/>
      </w:r>
    </w:p>
    <w:p w:rsidR="00442169" w:rsidRPr="00AD164E" w:rsidRDefault="00B84065" w:rsidP="00442169">
      <w:pPr>
        <w:tabs>
          <w:tab w:val="left" w:pos="3400"/>
        </w:tabs>
        <w:jc w:val="both"/>
        <w:rPr>
          <w:rFonts w:cs="Arial"/>
          <w:b/>
        </w:rPr>
      </w:pPr>
    </w:p>
    <w:p w:rsidR="00442169" w:rsidRPr="001B5844" w:rsidRDefault="00B84065" w:rsidP="00442169">
      <w:pPr>
        <w:ind w:left="426"/>
        <w:jc w:val="both"/>
        <w:rPr>
          <w:rFonts w:cs="Arial"/>
          <w:b/>
          <w:i/>
          <w:sz w:val="22"/>
        </w:rPr>
      </w:pPr>
      <w:r w:rsidRPr="001B5844">
        <w:rPr>
          <w:rFonts w:cs="Arial"/>
          <w:b/>
          <w:sz w:val="22"/>
        </w:rPr>
        <w:t xml:space="preserve">Riesgo 8.1 </w:t>
      </w:r>
      <w:r w:rsidRPr="001B5844">
        <w:rPr>
          <w:rFonts w:cs="Arial"/>
          <w:sz w:val="22"/>
        </w:rPr>
        <w:t xml:space="preserve">(identificado con el número 15). </w:t>
      </w:r>
      <w:r w:rsidRPr="001B5844">
        <w:rPr>
          <w:rFonts w:cs="Arial"/>
          <w:i/>
          <w:sz w:val="22"/>
        </w:rPr>
        <w:t>“Riesgo de que se produzca un Indebido sumistro de la información sobre el estado de los procesos de Cobro Coactivo”.</w:t>
      </w:r>
    </w:p>
    <w:p w:rsidR="00442169" w:rsidRPr="001B5844" w:rsidRDefault="00B84065" w:rsidP="00442169">
      <w:pPr>
        <w:ind w:left="720"/>
        <w:jc w:val="both"/>
        <w:rPr>
          <w:rFonts w:cs="Arial"/>
          <w:b/>
          <w:i/>
          <w:sz w:val="22"/>
        </w:rPr>
      </w:pPr>
    </w:p>
    <w:p w:rsidR="00442169" w:rsidRPr="001B5844" w:rsidRDefault="00B84065" w:rsidP="00442169">
      <w:pPr>
        <w:jc w:val="both"/>
        <w:rPr>
          <w:rFonts w:cs="Arial"/>
          <w:sz w:val="22"/>
        </w:rPr>
      </w:pPr>
      <w:r w:rsidRPr="001B5844">
        <w:rPr>
          <w:rFonts w:cs="Arial"/>
          <w:b/>
          <w:sz w:val="22"/>
        </w:rPr>
        <w:t>Acción:</w:t>
      </w:r>
      <w:r w:rsidRPr="001B5844">
        <w:rPr>
          <w:rFonts w:cs="Arial"/>
          <w:i/>
          <w:sz w:val="22"/>
        </w:rPr>
        <w:t xml:space="preserve"> </w:t>
      </w:r>
      <w:r w:rsidRPr="001B5844">
        <w:rPr>
          <w:rFonts w:cs="Arial"/>
          <w:b/>
          <w:sz w:val="22"/>
        </w:rPr>
        <w:t>“</w:t>
      </w:r>
      <w:r w:rsidRPr="001B5844">
        <w:rPr>
          <w:rFonts w:cs="Arial"/>
          <w:i/>
          <w:sz w:val="22"/>
        </w:rPr>
        <w:t>Realizar jornadas periódicas de sensibilización en temas de aplicación de prin</w:t>
      </w:r>
      <w:r w:rsidRPr="001B5844">
        <w:rPr>
          <w:rFonts w:cs="Arial"/>
          <w:i/>
          <w:sz w:val="22"/>
        </w:rPr>
        <w:t>cipios y valores y conocimiento de normas disciplinarias y penales”.</w:t>
      </w:r>
    </w:p>
    <w:p w:rsidR="00442169" w:rsidRPr="00AD164E" w:rsidRDefault="00B84065" w:rsidP="00442169">
      <w:pPr>
        <w:jc w:val="both"/>
        <w:rPr>
          <w:rFonts w:cs="Arial"/>
        </w:rPr>
      </w:pPr>
    </w:p>
    <w:p w:rsidR="00442169" w:rsidRPr="00AD164E" w:rsidRDefault="00B84065" w:rsidP="00442169">
      <w:pPr>
        <w:jc w:val="both"/>
        <w:rPr>
          <w:rFonts w:cs="Arial"/>
        </w:rPr>
      </w:pPr>
      <w:r w:rsidRPr="00AD164E">
        <w:rPr>
          <w:rFonts w:cs="Arial"/>
          <w:b/>
        </w:rPr>
        <w:t>Verificación a junio de 2015:</w:t>
      </w:r>
      <w:r w:rsidRPr="00AD164E">
        <w:rPr>
          <w:rFonts w:cs="Arial"/>
        </w:rPr>
        <w:t xml:space="preserve"> Se verificó el Acta de reunión de trabajo No. 3 del 23 de abril de 2015, expedida por la Subdirección de Jurisdicción Coactiva, en  la cual se manifiesta qu</w:t>
      </w:r>
      <w:r w:rsidRPr="00AD164E">
        <w:rPr>
          <w:rFonts w:cs="Arial"/>
        </w:rPr>
        <w:t>e se ha cumplido con el plan de Acción 2015, se han sensibilizado  a los funcionarios de esta dependencia para dar cumplimiento a la Constitución y las Leyes. El riesgo continúa abierto para seguimiento</w:t>
      </w:r>
      <w:r>
        <w:rPr>
          <w:rFonts w:cs="Arial"/>
        </w:rPr>
        <w:t>:</w:t>
      </w:r>
      <w:r w:rsidRPr="00AD164E">
        <w:rPr>
          <w:rFonts w:cs="Arial"/>
        </w:rPr>
        <w:t xml:space="preserve">                                                     </w:t>
      </w:r>
      <w:r w:rsidRPr="00AD164E">
        <w:rPr>
          <w:rFonts w:cs="Arial"/>
        </w:rPr>
        <w:t xml:space="preserve">                                           </w:t>
      </w:r>
    </w:p>
    <w:p w:rsidR="00442169" w:rsidRPr="00AD164E" w:rsidRDefault="00B84065" w:rsidP="00442169">
      <w:pPr>
        <w:jc w:val="both"/>
        <w:rPr>
          <w:rFonts w:cs="Arial"/>
        </w:rPr>
      </w:pPr>
    </w:p>
    <w:p w:rsidR="00442169" w:rsidRPr="001B5844" w:rsidRDefault="00B84065" w:rsidP="00442169">
      <w:pPr>
        <w:ind w:left="426"/>
        <w:jc w:val="both"/>
        <w:rPr>
          <w:rFonts w:cs="Arial"/>
          <w:sz w:val="22"/>
        </w:rPr>
      </w:pPr>
      <w:r w:rsidRPr="001B5844">
        <w:rPr>
          <w:rFonts w:cs="Arial"/>
          <w:b/>
          <w:sz w:val="22"/>
        </w:rPr>
        <w:t xml:space="preserve">Riesgo 8.2 - </w:t>
      </w:r>
      <w:r w:rsidRPr="001B5844">
        <w:rPr>
          <w:rFonts w:cs="Arial"/>
          <w:sz w:val="22"/>
        </w:rPr>
        <w:t xml:space="preserve">(identificado con el número 16).  </w:t>
      </w:r>
      <w:r w:rsidRPr="001B5844">
        <w:rPr>
          <w:rFonts w:cs="Arial"/>
          <w:i/>
          <w:sz w:val="22"/>
        </w:rPr>
        <w:t>“No lograr determinar y establecer la responsabilidad fiscal  (corrupción)”.</w:t>
      </w:r>
    </w:p>
    <w:p w:rsidR="00442169" w:rsidRPr="001B5844" w:rsidRDefault="00B84065" w:rsidP="00442169">
      <w:pPr>
        <w:jc w:val="both"/>
        <w:rPr>
          <w:rFonts w:cs="Arial"/>
          <w:b/>
          <w:sz w:val="22"/>
        </w:rPr>
      </w:pPr>
    </w:p>
    <w:p w:rsidR="00442169" w:rsidRPr="001B5844" w:rsidRDefault="00B84065" w:rsidP="00442169">
      <w:pPr>
        <w:jc w:val="both"/>
        <w:rPr>
          <w:rFonts w:cs="Arial"/>
          <w:i/>
          <w:sz w:val="22"/>
          <w:szCs w:val="22"/>
        </w:rPr>
      </w:pPr>
      <w:r w:rsidRPr="001B5844">
        <w:rPr>
          <w:rFonts w:cs="Arial"/>
          <w:b/>
          <w:sz w:val="22"/>
          <w:szCs w:val="22"/>
        </w:rPr>
        <w:t>Acción:</w:t>
      </w:r>
      <w:r w:rsidRPr="001B5844">
        <w:rPr>
          <w:rFonts w:cs="Arial"/>
          <w:i/>
          <w:sz w:val="22"/>
          <w:szCs w:val="22"/>
        </w:rPr>
        <w:t xml:space="preserve"> </w:t>
      </w:r>
      <w:r w:rsidRPr="001B5844">
        <w:rPr>
          <w:rFonts w:cs="Arial"/>
          <w:b/>
          <w:i/>
          <w:sz w:val="22"/>
          <w:szCs w:val="22"/>
        </w:rPr>
        <w:t>“</w:t>
      </w:r>
      <w:r w:rsidRPr="001B5844">
        <w:rPr>
          <w:rFonts w:cs="Arial"/>
          <w:i/>
          <w:sz w:val="22"/>
          <w:szCs w:val="22"/>
        </w:rPr>
        <w:t xml:space="preserve">Requerir a la alta dirección el incremento del talento humano competente y </w:t>
      </w:r>
      <w:r w:rsidRPr="001B5844">
        <w:rPr>
          <w:rFonts w:cs="Arial"/>
          <w:i/>
          <w:sz w:val="22"/>
          <w:szCs w:val="22"/>
        </w:rPr>
        <w:t>formular plan de contingencia para obtener por un tiempo determinado el apoyo de abogados y personal para secretaria.”</w:t>
      </w:r>
    </w:p>
    <w:p w:rsidR="00442169" w:rsidRPr="001B5844" w:rsidRDefault="00B84065" w:rsidP="00442169">
      <w:pPr>
        <w:jc w:val="both"/>
        <w:rPr>
          <w:rFonts w:cs="Arial"/>
          <w:i/>
          <w:sz w:val="22"/>
          <w:szCs w:val="22"/>
        </w:rPr>
      </w:pPr>
    </w:p>
    <w:p w:rsidR="00442169" w:rsidRPr="001B5844" w:rsidRDefault="00B84065" w:rsidP="00442169">
      <w:pPr>
        <w:jc w:val="both"/>
        <w:rPr>
          <w:rFonts w:cs="Arial"/>
          <w:i/>
          <w:sz w:val="22"/>
          <w:szCs w:val="22"/>
        </w:rPr>
      </w:pPr>
      <w:r w:rsidRPr="001B5844">
        <w:rPr>
          <w:rFonts w:cs="Arial"/>
          <w:b/>
          <w:i/>
          <w:sz w:val="22"/>
          <w:szCs w:val="22"/>
        </w:rPr>
        <w:lastRenderedPageBreak/>
        <w:t>Verificación a junio de 2015:</w:t>
      </w:r>
      <w:r w:rsidRPr="001B5844">
        <w:rPr>
          <w:rFonts w:cs="Arial"/>
          <w:i/>
          <w:sz w:val="22"/>
          <w:szCs w:val="22"/>
        </w:rPr>
        <w:t xml:space="preserve"> Se verificó el Acta  No. 2 del 20 de mayo de 2015, expedida por la Subdirección del proceso de Responsabil</w:t>
      </w:r>
      <w:r w:rsidRPr="001B5844">
        <w:rPr>
          <w:rFonts w:cs="Arial"/>
          <w:i/>
          <w:sz w:val="22"/>
          <w:szCs w:val="22"/>
        </w:rPr>
        <w:t xml:space="preserve">idad Fiscal en  la cual se dejó constancia  que a la fecha  de esa reunión la Subdirección cuenta con 40 funcionarios y se requieren 77 según lo dispuesto en la resolución 003 de 213 y el acuerdo 519 de 2012  </w:t>
      </w:r>
    </w:p>
    <w:p w:rsidR="00442169" w:rsidRPr="001B5844" w:rsidRDefault="00B84065" w:rsidP="00442169">
      <w:pPr>
        <w:jc w:val="both"/>
        <w:rPr>
          <w:rFonts w:cs="Arial"/>
          <w:i/>
          <w:sz w:val="22"/>
          <w:szCs w:val="22"/>
        </w:rPr>
      </w:pPr>
      <w:r w:rsidRPr="001B5844">
        <w:rPr>
          <w:rFonts w:cs="Arial"/>
          <w:i/>
          <w:sz w:val="22"/>
          <w:szCs w:val="22"/>
        </w:rPr>
        <w:t>Se solicita que provean más abogados para el c</w:t>
      </w:r>
      <w:r w:rsidRPr="001B5844">
        <w:rPr>
          <w:rFonts w:cs="Arial"/>
          <w:i/>
          <w:sz w:val="22"/>
          <w:szCs w:val="22"/>
        </w:rPr>
        <w:t>umplimiento de la gestión de la Dirección de responsabilidad Fiscal y Jurisdicción Coactiva.</w:t>
      </w:r>
    </w:p>
    <w:p w:rsidR="00442169" w:rsidRPr="00AD164E" w:rsidRDefault="00B84065" w:rsidP="00442169">
      <w:pPr>
        <w:jc w:val="both"/>
        <w:rPr>
          <w:rFonts w:cs="Arial"/>
        </w:rPr>
      </w:pPr>
    </w:p>
    <w:p w:rsidR="00442169" w:rsidRPr="001B5844" w:rsidRDefault="00B84065" w:rsidP="00442169">
      <w:pPr>
        <w:ind w:left="426"/>
        <w:jc w:val="both"/>
        <w:rPr>
          <w:rFonts w:cs="Arial"/>
          <w:sz w:val="22"/>
        </w:rPr>
      </w:pPr>
      <w:r w:rsidRPr="001B5844">
        <w:rPr>
          <w:rFonts w:cs="Arial"/>
          <w:b/>
          <w:sz w:val="22"/>
        </w:rPr>
        <w:t xml:space="preserve">Riesgo 8.2 - </w:t>
      </w:r>
      <w:r w:rsidRPr="001B5844">
        <w:rPr>
          <w:rFonts w:cs="Arial"/>
          <w:sz w:val="22"/>
        </w:rPr>
        <w:t xml:space="preserve">(identificado con el número 17). </w:t>
      </w:r>
      <w:r w:rsidRPr="001B5844">
        <w:rPr>
          <w:rFonts w:cs="Arial"/>
          <w:i/>
          <w:sz w:val="22"/>
        </w:rPr>
        <w:t>Riesgo de que se produzcan decisiones ajustadas a indebido interés particular (Corrupción)</w:t>
      </w:r>
    </w:p>
    <w:p w:rsidR="00442169" w:rsidRPr="001B5844" w:rsidRDefault="00B84065" w:rsidP="00442169">
      <w:pPr>
        <w:ind w:left="720"/>
        <w:jc w:val="both"/>
        <w:rPr>
          <w:rFonts w:cs="Arial"/>
          <w:sz w:val="22"/>
        </w:rPr>
      </w:pPr>
    </w:p>
    <w:p w:rsidR="00442169" w:rsidRPr="001B5844" w:rsidRDefault="00B84065" w:rsidP="00442169">
      <w:pPr>
        <w:jc w:val="both"/>
        <w:rPr>
          <w:rFonts w:cs="Arial"/>
          <w:i/>
          <w:sz w:val="22"/>
        </w:rPr>
      </w:pPr>
      <w:r w:rsidRPr="001B5844">
        <w:rPr>
          <w:rFonts w:cs="Arial"/>
          <w:b/>
          <w:sz w:val="22"/>
        </w:rPr>
        <w:t>Acción:</w:t>
      </w:r>
      <w:r w:rsidRPr="001B5844">
        <w:rPr>
          <w:rFonts w:cs="Arial"/>
          <w:i/>
          <w:sz w:val="22"/>
        </w:rPr>
        <w:t xml:space="preserve"> </w:t>
      </w:r>
      <w:r w:rsidRPr="001B5844">
        <w:rPr>
          <w:rFonts w:cs="Arial"/>
          <w:b/>
          <w:sz w:val="22"/>
        </w:rPr>
        <w:t>“</w:t>
      </w:r>
      <w:r w:rsidRPr="001B5844">
        <w:rPr>
          <w:rFonts w:cs="Arial"/>
          <w:i/>
          <w:sz w:val="22"/>
        </w:rPr>
        <w:t xml:space="preserve">Requerir a la </w:t>
      </w:r>
      <w:r w:rsidRPr="001B5844">
        <w:rPr>
          <w:rFonts w:cs="Arial"/>
          <w:i/>
          <w:sz w:val="22"/>
        </w:rPr>
        <w:t>alta dirección el incremento del talento humano competente y formular plan de contingencia para obtener por un tiempo determinado el apoyo de abogados y personal para secretaria.”</w:t>
      </w:r>
    </w:p>
    <w:p w:rsidR="00442169" w:rsidRPr="001B5844" w:rsidRDefault="00B84065" w:rsidP="00442169">
      <w:pPr>
        <w:jc w:val="both"/>
        <w:rPr>
          <w:rFonts w:cs="Arial"/>
          <w:sz w:val="22"/>
        </w:rPr>
      </w:pPr>
    </w:p>
    <w:p w:rsidR="00442169" w:rsidRPr="00AD164E" w:rsidRDefault="00B84065" w:rsidP="00442169">
      <w:pPr>
        <w:jc w:val="both"/>
        <w:rPr>
          <w:rFonts w:cs="Arial"/>
        </w:rPr>
      </w:pPr>
      <w:r w:rsidRPr="00AD164E">
        <w:rPr>
          <w:rFonts w:cs="Arial"/>
          <w:b/>
        </w:rPr>
        <w:t>Verificación a junio de 2015:</w:t>
      </w:r>
      <w:r w:rsidRPr="00AD164E">
        <w:rPr>
          <w:rFonts w:cs="Arial"/>
        </w:rPr>
        <w:t xml:space="preserve"> Se verificó el Acta  No. 002 del 20 de mayo d</w:t>
      </w:r>
      <w:r w:rsidRPr="00AD164E">
        <w:rPr>
          <w:rFonts w:cs="Arial"/>
        </w:rPr>
        <w:t>e 2015, expedida por la Subdirección de Responsabilidad Fiscal, en  la cual se manifiesta que se ha cumplido con el plan de Acción 2015 y se ha disminuido la carga laboral ya que se ha recibido el apoyo de abogados para el trámite transparente de los proce</w:t>
      </w:r>
      <w:r w:rsidRPr="00AD164E">
        <w:rPr>
          <w:rFonts w:cs="Arial"/>
        </w:rPr>
        <w:t>sos. El riesgo continúa abierto para seguimiento.</w:t>
      </w:r>
    </w:p>
    <w:p w:rsidR="00442169" w:rsidRDefault="00B84065" w:rsidP="00442169">
      <w:pPr>
        <w:jc w:val="both"/>
        <w:rPr>
          <w:rFonts w:cs="Arial"/>
          <w:b/>
          <w:color w:val="FF0000"/>
        </w:rPr>
      </w:pPr>
    </w:p>
    <w:p w:rsidR="00442169" w:rsidRPr="003D4FC9" w:rsidRDefault="00B84065" w:rsidP="00442169">
      <w:pPr>
        <w:jc w:val="both"/>
        <w:rPr>
          <w:rFonts w:cs="Arial"/>
          <w:b/>
        </w:rPr>
      </w:pPr>
      <w:r w:rsidRPr="003D4FC9">
        <w:rPr>
          <w:rFonts w:cs="Arial"/>
          <w:b/>
        </w:rPr>
        <w:t>RECOMENDACIONES GENERALES</w:t>
      </w:r>
    </w:p>
    <w:p w:rsidR="00442169" w:rsidRPr="003D4FC9" w:rsidRDefault="00B84065" w:rsidP="00442169">
      <w:pPr>
        <w:tabs>
          <w:tab w:val="left" w:pos="527"/>
        </w:tabs>
        <w:jc w:val="both"/>
        <w:rPr>
          <w:rFonts w:cs="Arial"/>
        </w:rPr>
      </w:pPr>
      <w:r w:rsidRPr="003D4FC9">
        <w:rPr>
          <w:rFonts w:cs="Arial"/>
        </w:rPr>
        <w:tab/>
      </w:r>
    </w:p>
    <w:p w:rsidR="00442169" w:rsidRDefault="00B84065" w:rsidP="00442169">
      <w:pPr>
        <w:numPr>
          <w:ilvl w:val="0"/>
          <w:numId w:val="2"/>
        </w:numPr>
        <w:jc w:val="both"/>
        <w:rPr>
          <w:rFonts w:cs="Arial"/>
          <w:lang w:val="es-ES_tradnl" w:eastAsia="es-CO"/>
        </w:rPr>
      </w:pPr>
      <w:r w:rsidRPr="003D4FC9">
        <w:rPr>
          <w:rFonts w:cs="Arial"/>
          <w:lang w:val="es-ES_tradnl" w:eastAsia="es-CO"/>
        </w:rPr>
        <w:t xml:space="preserve">Se recomienda que las acciones implementadas en los planes de mejoramiento se conozcan en toda la Dirección de Responsabilidad Fiscal y Jurisdicción Coactiva, para que de esta </w:t>
      </w:r>
      <w:r w:rsidRPr="003D4FC9">
        <w:rPr>
          <w:rFonts w:cs="Arial"/>
          <w:lang w:val="es-ES_tradnl" w:eastAsia="es-CO"/>
        </w:rPr>
        <w:t>manera se logre contribuir al mejoramiento</w:t>
      </w:r>
      <w:r>
        <w:rPr>
          <w:rFonts w:cs="Arial"/>
          <w:lang w:val="es-ES_tradnl" w:eastAsia="es-CO"/>
        </w:rPr>
        <w:t xml:space="preserve"> de la calidad de los productos.</w:t>
      </w:r>
    </w:p>
    <w:p w:rsidR="00442169" w:rsidRPr="001B5844" w:rsidRDefault="00B84065" w:rsidP="00442169">
      <w:pPr>
        <w:ind w:left="360"/>
        <w:jc w:val="both"/>
        <w:rPr>
          <w:rFonts w:cs="Arial"/>
          <w:lang w:val="es-ES_tradnl" w:eastAsia="es-CO"/>
        </w:rPr>
      </w:pPr>
    </w:p>
    <w:p w:rsidR="00442169" w:rsidRPr="00CD32F5" w:rsidRDefault="00B84065" w:rsidP="00442169">
      <w:pPr>
        <w:jc w:val="both"/>
        <w:rPr>
          <w:rFonts w:cs="Arial"/>
          <w:i/>
          <w:color w:val="0D0D0D"/>
          <w:szCs w:val="22"/>
        </w:rPr>
      </w:pPr>
      <w:r w:rsidRPr="00CD32F5">
        <w:rPr>
          <w:rFonts w:cs="Arial"/>
          <w:color w:val="0D0D0D"/>
          <w:szCs w:val="22"/>
        </w:rPr>
        <w:t xml:space="preserve">Así mismo, </w:t>
      </w:r>
      <w:r>
        <w:rPr>
          <w:rFonts w:cs="Arial"/>
          <w:color w:val="0D0D0D"/>
          <w:szCs w:val="22"/>
        </w:rPr>
        <w:t xml:space="preserve"> de  conformidad con lo reglamentado mediante </w:t>
      </w:r>
      <w:r w:rsidRPr="00CD32F5">
        <w:rPr>
          <w:rFonts w:cs="Arial"/>
          <w:color w:val="0D0D0D"/>
          <w:szCs w:val="22"/>
        </w:rPr>
        <w:t>R.R 021 del 11 de junio de 2015, se solicita para el próximo seguimiento (corte septiembre) la separación de las acciones C</w:t>
      </w:r>
      <w:r w:rsidRPr="00CD32F5">
        <w:rPr>
          <w:rFonts w:cs="Arial"/>
          <w:color w:val="0D0D0D"/>
          <w:szCs w:val="22"/>
        </w:rPr>
        <w:t xml:space="preserve">orrectiva y de Mejora en el </w:t>
      </w:r>
      <w:r w:rsidRPr="00CD32F5">
        <w:rPr>
          <w:rFonts w:cs="Arial"/>
          <w:i/>
          <w:color w:val="0D0D0D"/>
          <w:szCs w:val="22"/>
        </w:rPr>
        <w:t>ANEXO 1 – Plan de Mejoramiento – Acciones Correctivas y de Mejora y</w:t>
      </w:r>
      <w:r w:rsidRPr="00CD32F5">
        <w:rPr>
          <w:rFonts w:cs="Arial"/>
          <w:color w:val="0D0D0D"/>
          <w:szCs w:val="22"/>
        </w:rPr>
        <w:t xml:space="preserve"> las Acciones Preventivas (Riesgos) en el  </w:t>
      </w:r>
      <w:r w:rsidRPr="00CD32F5">
        <w:rPr>
          <w:rFonts w:cs="Arial"/>
          <w:i/>
          <w:color w:val="0D0D0D"/>
          <w:szCs w:val="22"/>
        </w:rPr>
        <w:t>ANEXO 1 – Plan de Evaluación y Seguimiento de los Riesgos.</w:t>
      </w:r>
    </w:p>
    <w:p w:rsidR="00442169" w:rsidRDefault="00B84065" w:rsidP="00442169">
      <w:pPr>
        <w:jc w:val="both"/>
        <w:rPr>
          <w:rFonts w:cs="Arial"/>
          <w:color w:val="FF0000"/>
          <w:u w:val="single"/>
          <w:lang w:val="es-ES_tradnl" w:eastAsia="es-CO"/>
        </w:rPr>
      </w:pPr>
    </w:p>
    <w:p w:rsidR="0080302C" w:rsidRDefault="00B84065" w:rsidP="006836EB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>Cordialmente,</w:t>
      </w:r>
    </w:p>
    <w:p w:rsidR="00E07534" w:rsidRDefault="00B84065" w:rsidP="006836EB">
      <w:pPr>
        <w:outlineLvl w:val="0"/>
        <w:rPr>
          <w:rFonts w:cs="Arial"/>
          <w:szCs w:val="24"/>
        </w:rPr>
      </w:pPr>
    </w:p>
    <w:p w:rsidR="00EC36C7" w:rsidRDefault="00B84065" w:rsidP="006836EB">
      <w:pPr>
        <w:outlineLvl w:val="0"/>
        <w:rPr>
          <w:rFonts w:cs="Arial"/>
          <w:szCs w:val="24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tbl>
      <w:tblPr>
        <w:tblStyle w:val="Tablaconcuadrcula"/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253"/>
      </w:tblGrid>
      <w:tr w:rsidR="00984358" w:rsidTr="00EC36C7">
        <w:trPr>
          <w:trHeight w:val="988"/>
        </w:trPr>
        <w:tc>
          <w:tcPr>
            <w:tcW w:w="4673" w:type="dxa"/>
          </w:tcPr>
          <w:p w:rsidR="007A6B81" w:rsidRDefault="00B84065" w:rsidP="007A6B81">
            <w:pPr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7A6B81" w:rsidRDefault="0072079F" w:rsidP="00EC36C7">
            <w:pPr>
              <w:spacing w:line="216" w:lineRule="auto"/>
              <w:ind w:left="318" w:right="-801"/>
              <w:rPr>
                <w:rFonts w:cs="Arial"/>
                <w:szCs w:val="24"/>
              </w:rPr>
            </w:pPr>
            <w:bookmarkStart w:id="11" w:name="gdocs_firma"/>
            <w:r>
              <w:rPr>
                <w:rFonts w:cs="Arial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57.75pt">
                  <v:imagedata r:id="rId10" o:title=""/>
                </v:shape>
              </w:pict>
            </w:r>
            <w:bookmarkEnd w:id="11"/>
          </w:p>
        </w:tc>
      </w:tr>
      <w:tr w:rsidR="00984358" w:rsidTr="00EC36C7">
        <w:trPr>
          <w:trHeight w:val="286"/>
        </w:trPr>
        <w:tc>
          <w:tcPr>
            <w:tcW w:w="4673" w:type="dxa"/>
          </w:tcPr>
          <w:p w:rsidR="007A6B81" w:rsidRDefault="00B84065" w:rsidP="007A6B81">
            <w:pPr>
              <w:outlineLvl w:val="0"/>
              <w:rPr>
                <w:rFonts w:cs="Arial"/>
                <w:szCs w:val="24"/>
              </w:rPr>
            </w:pPr>
          </w:p>
        </w:tc>
        <w:tc>
          <w:tcPr>
            <w:tcW w:w="4253" w:type="dxa"/>
          </w:tcPr>
          <w:p w:rsidR="007A6B81" w:rsidRDefault="00B84065" w:rsidP="00EC36C7">
            <w:pPr>
              <w:spacing w:line="216" w:lineRule="auto"/>
              <w:ind w:left="318" w:right="-376"/>
              <w:rPr>
                <w:rFonts w:cs="Arial"/>
                <w:szCs w:val="24"/>
              </w:rPr>
            </w:pPr>
            <w:bookmarkStart w:id="12" w:name="gdocs_nombre"/>
            <w:r w:rsidRPr="00F87D2B">
              <w:rPr>
                <w:b/>
              </w:rPr>
              <w:t xml:space="preserve">CARMEN ROSA MENDOZA SUAREZ </w:t>
            </w:r>
            <w:bookmarkEnd w:id="12"/>
          </w:p>
        </w:tc>
      </w:tr>
    </w:tbl>
    <w:p w:rsidR="00EC36C7" w:rsidRDefault="00B84065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442169" w:rsidRPr="00D1309C" w:rsidRDefault="00B84065" w:rsidP="00442169">
      <w:pPr>
        <w:jc w:val="both"/>
        <w:rPr>
          <w:rFonts w:cs="Arial"/>
          <w:sz w:val="16"/>
          <w:szCs w:val="16"/>
        </w:rPr>
      </w:pPr>
      <w:r w:rsidRPr="00D1309C">
        <w:rPr>
          <w:rFonts w:cs="Arial"/>
          <w:sz w:val="16"/>
          <w:szCs w:val="16"/>
        </w:rPr>
        <w:lastRenderedPageBreak/>
        <w:t>Anexo:      Si _</w:t>
      </w:r>
      <w:r w:rsidRPr="00D1309C">
        <w:rPr>
          <w:rFonts w:cs="Arial"/>
          <w:sz w:val="16"/>
          <w:szCs w:val="16"/>
          <w:u w:val="single"/>
        </w:rPr>
        <w:t>x</w:t>
      </w:r>
      <w:r w:rsidRPr="00D1309C">
        <w:rPr>
          <w:rFonts w:cs="Arial"/>
          <w:sz w:val="16"/>
          <w:szCs w:val="16"/>
        </w:rPr>
        <w:t>_      No _</w:t>
      </w:r>
      <w:r w:rsidRPr="00D1309C">
        <w:rPr>
          <w:rFonts w:cs="Arial"/>
          <w:sz w:val="16"/>
          <w:szCs w:val="16"/>
          <w:u w:val="single"/>
        </w:rPr>
        <w:t>_</w:t>
      </w:r>
    </w:p>
    <w:p w:rsidR="00442169" w:rsidRDefault="00B84065" w:rsidP="00442169">
      <w:pPr>
        <w:jc w:val="both"/>
        <w:rPr>
          <w:rFonts w:cs="Arial"/>
          <w:sz w:val="16"/>
          <w:szCs w:val="16"/>
        </w:rPr>
      </w:pPr>
      <w:r w:rsidRPr="00D1309C">
        <w:rPr>
          <w:rFonts w:cs="Arial"/>
          <w:sz w:val="16"/>
          <w:szCs w:val="16"/>
        </w:rPr>
        <w:t>Proyecto y elaboro:</w:t>
      </w:r>
      <w:r>
        <w:rPr>
          <w:rFonts w:cs="Arial"/>
          <w:sz w:val="16"/>
          <w:szCs w:val="16"/>
        </w:rPr>
        <w:t xml:space="preserve"> Juan</w:t>
      </w:r>
      <w:r w:rsidRPr="00D1309C">
        <w:rPr>
          <w:rFonts w:cs="Arial"/>
          <w:sz w:val="16"/>
          <w:szCs w:val="16"/>
        </w:rPr>
        <w:t xml:space="preserve"> Carlos Cifuentes Salazar</w:t>
      </w:r>
      <w:r>
        <w:rPr>
          <w:rFonts w:cs="Arial"/>
          <w:sz w:val="16"/>
          <w:szCs w:val="16"/>
        </w:rPr>
        <w:t xml:space="preserve"> - Funcionarios</w:t>
      </w:r>
      <w:r w:rsidRPr="00D1309C">
        <w:rPr>
          <w:rFonts w:cs="Arial"/>
          <w:sz w:val="16"/>
          <w:szCs w:val="16"/>
        </w:rPr>
        <w:t xml:space="preserve"> OCI</w:t>
      </w:r>
      <w:r>
        <w:rPr>
          <w:rFonts w:cs="Arial"/>
          <w:sz w:val="16"/>
          <w:szCs w:val="16"/>
        </w:rPr>
        <w:t>.</w:t>
      </w:r>
    </w:p>
    <w:p w:rsidR="00442169" w:rsidRPr="00D1309C" w:rsidRDefault="00B84065" w:rsidP="00442169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Apoyo:</w:t>
      </w:r>
      <w:r w:rsidRPr="001B5844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Flor Angélica Espinosa Sánchez.</w:t>
      </w:r>
    </w:p>
    <w:p w:rsidR="00442169" w:rsidRPr="00D1309C" w:rsidRDefault="00B84065" w:rsidP="00442169">
      <w:pPr>
        <w:jc w:val="both"/>
        <w:rPr>
          <w:rFonts w:cs="Arial"/>
          <w:sz w:val="16"/>
          <w:szCs w:val="16"/>
        </w:rPr>
      </w:pPr>
    </w:p>
    <w:p w:rsidR="00815CDD" w:rsidRPr="00301D93" w:rsidRDefault="00B84065" w:rsidP="0044216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</w:p>
    <w:sectPr w:rsidR="00815CDD" w:rsidRPr="00301D93" w:rsidSect="00B565CC">
      <w:type w:val="continuous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065" w:rsidRDefault="00B84065">
      <w:r>
        <w:separator/>
      </w:r>
    </w:p>
  </w:endnote>
  <w:endnote w:type="continuationSeparator" w:id="0">
    <w:p w:rsidR="00B84065" w:rsidRDefault="00B8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B84065" w:rsidP="0076554E">
    <w:pPr>
      <w:jc w:val="center"/>
      <w:rPr>
        <w:sz w:val="16"/>
        <w:szCs w:val="16"/>
      </w:rPr>
    </w:pPr>
    <w:hyperlink r:id="rId1" w:history="1">
      <w:r w:rsidRPr="00E57F2F">
        <w:rPr>
          <w:rStyle w:val="Hipervnculo"/>
          <w:sz w:val="16"/>
          <w:szCs w:val="16"/>
        </w:rPr>
        <w:t>www.contraloriabogota.gov.co</w:t>
      </w:r>
    </w:hyperlink>
  </w:p>
  <w:p w:rsidR="007732BF" w:rsidRPr="007732BF" w:rsidRDefault="00B84065" w:rsidP="0076554E">
    <w:pPr>
      <w:jc w:val="center"/>
      <w:rPr>
        <w:sz w:val="18"/>
        <w:szCs w:val="18"/>
      </w:rPr>
    </w:pPr>
    <w:r w:rsidRPr="007732BF">
      <w:rPr>
        <w:sz w:val="18"/>
        <w:szCs w:val="18"/>
      </w:rPr>
      <w:t>Código Postal 111321</w:t>
    </w:r>
  </w:p>
  <w:p w:rsidR="007732BF" w:rsidRPr="00A656FE" w:rsidRDefault="00B84065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 xml:space="preserve">Cra. </w:t>
    </w:r>
    <w:smartTag w:uri="urn:schemas-microsoft-com:office:smarttags" w:element="metricconverter">
      <w:smartTagPr>
        <w:attr w:name="ProductID" w:val="32 A"/>
      </w:smartTagPr>
      <w:r w:rsidRPr="00A656FE">
        <w:rPr>
          <w:sz w:val="18"/>
          <w:szCs w:val="18"/>
        </w:rPr>
        <w:t>32 A</w:t>
      </w:r>
    </w:smartTag>
    <w:r w:rsidRPr="00A656FE">
      <w:rPr>
        <w:sz w:val="18"/>
        <w:szCs w:val="18"/>
      </w:rPr>
      <w:t xml:space="preserve"> No. </w:t>
    </w:r>
    <w:smartTag w:uri="urn:schemas-microsoft-com:office:smarttags" w:element="metricconverter">
      <w:smartTagPr>
        <w:attr w:name="ProductID" w:val="26 A"/>
      </w:smartTagPr>
      <w:r w:rsidRPr="00A656FE">
        <w:rPr>
          <w:sz w:val="18"/>
          <w:szCs w:val="18"/>
        </w:rPr>
        <w:t>26 A</w:t>
      </w:r>
    </w:smartTag>
    <w:r w:rsidRPr="00A656FE">
      <w:rPr>
        <w:sz w:val="18"/>
        <w:szCs w:val="18"/>
      </w:rPr>
      <w:t xml:space="preserve"> – 10</w:t>
    </w:r>
  </w:p>
  <w:p w:rsidR="007732BF" w:rsidRPr="00A656FE" w:rsidRDefault="00B84065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>PBX 3358888</w:t>
    </w:r>
  </w:p>
  <w:p w:rsidR="007732BF" w:rsidRDefault="00B84065" w:rsidP="00BD6F23">
    <w:pPr>
      <w:pStyle w:val="Piedepgina"/>
      <w:jc w:val="left"/>
    </w:pPr>
  </w:p>
  <w:p w:rsidR="007732BF" w:rsidRDefault="00B840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065" w:rsidRDefault="00B84065">
      <w:r>
        <w:separator/>
      </w:r>
    </w:p>
  </w:footnote>
  <w:footnote w:type="continuationSeparator" w:id="0">
    <w:p w:rsidR="00B84065" w:rsidRDefault="00B84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B84065" w:rsidP="00C5161C">
    <w:pPr>
      <w:pStyle w:val="Encabezado"/>
      <w:spacing w:before="100"/>
      <w:jc w:val="right"/>
    </w:pPr>
    <w:r w:rsidRPr="0049735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-61595</wp:posOffset>
              </wp:positionV>
              <wp:extent cx="3391535" cy="846455"/>
              <wp:effectExtent l="5715" t="5080" r="1270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32BF" w:rsidRPr="00FC7DD4" w:rsidRDefault="00B84065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CONTRALORIA DE BOGOTA D.C.  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Folios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0" w:name="gdocs_numFolios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XXX</w:t>
                          </w:r>
                          <w:bookmarkEnd w:id="0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.  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Anexos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1" w:name="gdocs_hasAnexos"/>
                          <w:bookmarkEnd w:id="1"/>
                        </w:p>
                        <w:p w:rsidR="007732BF" w:rsidRDefault="00B84065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Radicación #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2" w:name="gdocs_num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3-2015-14499</w:t>
                          </w:r>
                          <w:bookmarkEnd w:id="2"/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3" w:name="gdocs_fec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2015-07-15 11:58</w:t>
                          </w:r>
                          <w:bookmarkEnd w:id="3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Proc #</w:t>
                          </w:r>
                          <w:r w:rsidRPr="002C58DF"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4" w:name="gdocs_numPro"/>
                          <w:r>
                            <w:rPr>
                              <w:rFonts w:ascii="Arial Narrow" w:hAnsi="Arial Narrow"/>
                              <w:sz w:val="18"/>
                            </w:rPr>
                            <w:t>671222</w:t>
                          </w:r>
                          <w:bookmarkEnd w:id="4"/>
                        </w:p>
                        <w:p w:rsidR="007732BF" w:rsidRPr="00C71928" w:rsidRDefault="00B84065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C71928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Tercero: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5" w:name="gdocs_nomter"/>
                          <w:r w:rsidRPr="00C71928">
                            <w:rPr>
                              <w:rFonts w:ascii="Arial Narrow" w:hAnsi="Arial Narrow"/>
                              <w:sz w:val="18"/>
                            </w:rPr>
                            <w:t xml:space="preserve"> CONTRALORIA DE BOGOTA D.C.</w:t>
                          </w:r>
                          <w:bookmarkEnd w:id="5"/>
                        </w:p>
                        <w:p w:rsidR="007732BF" w:rsidRDefault="00B84065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Dependencia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Radicadora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6" w:name="gdocs_nomDep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OFICINA DE CONTROL INTERNO</w:t>
                          </w:r>
                          <w:bookmarkEnd w:id="6"/>
                        </w:p>
                        <w:p w:rsidR="007732BF" w:rsidRDefault="00B84065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Clase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7" w:name="gdocs_cla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3- Internos</w:t>
                          </w:r>
                          <w:bookmarkEnd w:id="7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Tip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8" w:name="gdocs_tip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Memorando</w:t>
                          </w:r>
                          <w:bookmarkEnd w:id="8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Consec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9" w:name="num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13000-13290</w:t>
                          </w:r>
                          <w:bookmarkEnd w:id="9"/>
                        </w:p>
                        <w:p w:rsidR="007732BF" w:rsidRPr="00FC7DD4" w:rsidRDefault="00B84065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height:66.65pt;margin-left:-3.3pt;margin-top:-4.85pt;mso-wrap-distance-bottom:0;mso-wrap-distance-left:9pt;mso-wrap-distance-right:9pt;mso-wrap-distance-top:0;mso-wrap-style:square;position:absolute;v-text-anchor:top;visibility:visible;width:267.05pt;z-index:251659264" filled="f" strokecolor="white">
              <v:textbox>
                <w:txbxContent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CONTRALORIA DE BOGOTA D.C.  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Folios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0" w:name="gdocs_numFolios"/>
                    <w:r w:rsidRPr="00FC7DD4">
                      <w:rPr>
                        <w:rFonts w:ascii="Arial Narrow" w:hAnsi="Arial Narrow"/>
                        <w:sz w:val="18"/>
                      </w:rPr>
                      <w:t>X</w:t>
                    </w:r>
                    <w:r>
                      <w:rPr>
                        <w:rFonts w:ascii="Arial Narrow" w:hAnsi="Arial Narrow"/>
                        <w:sz w:val="18"/>
                      </w:rPr>
                      <w:t>XXX</w:t>
                    </w:r>
                    <w:bookmarkEnd w:id="0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.  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Anexos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" w:name="gdocs_hasAnexos"/>
                    <w:bookmarkEnd w:id="1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Radicación #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2" w:name="gdocs_numRad"/>
                    <w:r w:rsidRPr="00FC7DD4"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X  </w:t>
                    </w:r>
                    <w:bookmarkEnd w:id="2"/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Fecha</w:t>
                    </w:r>
                    <w:r>
                      <w:rPr>
                        <w:rFonts w:ascii="Arial Narrow" w:hAnsi="Arial Narrow"/>
                        <w:sz w:val="18"/>
                      </w:rPr>
                      <w:t>: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3" w:name="gdocs_fecRad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XXXX-XX-XX </w:t>
                    </w:r>
                    <w:r>
                      <w:rPr>
                        <w:rFonts w:ascii="Arial Narrow" w:hAnsi="Arial Narrow"/>
                        <w:sz w:val="18"/>
                      </w:rPr>
                      <w:t>XX:XX</w:t>
                    </w:r>
                    <w:bookmarkEnd w:id="3"/>
                    <w:r>
                      <w:rPr>
                        <w:rFonts w:ascii="Arial Narrow" w:hAnsi="Arial Narrow"/>
                        <w:sz w:val="18"/>
                      </w:rPr>
                      <w:t xml:space="preserve">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Proc #</w:t>
                    </w:r>
                    <w:r w:rsidRPr="002C58DF">
                      <w:rPr>
                        <w:rFonts w:ascii="Arial Narrow" w:hAnsi="Arial Narrow"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4" w:name="gdocs_numPro"/>
                    <w:r>
                      <w:rPr>
                        <w:rFonts w:ascii="Arial Narrow" w:hAnsi="Arial Narrow"/>
                        <w:sz w:val="18"/>
                      </w:rPr>
                      <w:t>671222</w:t>
                    </w:r>
                    <w:bookmarkEnd w:id="4"/>
                  </w:p>
                  <w:p w:rsidR="007732BF" w:rsidRPr="00C71928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C71928">
                      <w:rPr>
                        <w:rFonts w:ascii="Arial Narrow" w:hAnsi="Arial Narrow"/>
                        <w:b/>
                        <w:sz w:val="18"/>
                      </w:rPr>
                      <w:t>Tercero: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5" w:name="gdocs_nomter"/>
                    <w:r w:rsidRPr="00C71928">
                      <w:rPr>
                        <w:rFonts w:ascii="Arial Narrow" w:hAnsi="Arial Narrow"/>
                        <w:sz w:val="18"/>
                      </w:rPr>
                      <w:t xml:space="preserve"> CONTRALORIA DE BOGOTA D.C.</w:t>
                    </w:r>
                    <w:bookmarkEnd w:id="5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Dependencia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Radicadora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6" w:name="gdocs_nomDep"/>
                    <w:r>
                      <w:rPr>
                        <w:rFonts w:ascii="Arial Narrow" w:hAnsi="Arial Narrow"/>
                        <w:b/>
                        <w:sz w:val="18"/>
                      </w:rPr>
                      <w:t>XXXXXXXXXXXXXXXXXXXXXXXXXXXXXXX</w:t>
                    </w:r>
                    <w:bookmarkEnd w:id="6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Clase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7" w:name="gdocs_claDoc"/>
                    <w:r>
                      <w:rPr>
                        <w:rFonts w:ascii="Arial Narrow" w:hAnsi="Arial Narrow"/>
                        <w:sz w:val="18"/>
                      </w:rPr>
                      <w:t xml:space="preserve">XXXXXXXX </w:t>
                    </w:r>
                    <w:bookmarkEnd w:id="7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Tip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o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8" w:name="gdocs_tipDoc"/>
                    <w:r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bookmarkEnd w:id="8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Consec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9" w:name="numdoc"/>
                    <w:r>
                      <w:rPr>
                        <w:rFonts w:ascii="Arial Narrow" w:hAnsi="Arial Narrow"/>
                        <w:sz w:val="18"/>
                      </w:rPr>
                      <w:t>XXXXXX-XXXXX</w:t>
                    </w:r>
                    <w:bookmarkEnd w:id="9"/>
                  </w:p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-85725</wp:posOffset>
              </wp:positionV>
              <wp:extent cx="3391535" cy="846455"/>
              <wp:effectExtent l="8255" t="9525" r="1016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oundrect id="AutoShape 4" o:spid="_x0000_s2050" style="height:66.65pt;margin-left:-2.35pt;margin-top:-6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67.05pt;z-index:251661312" arcsize="10923f" filled="f"/>
          </w:pict>
        </mc:Fallback>
      </mc:AlternateContent>
    </w:r>
    <w:r>
      <w:rPr>
        <w:noProof/>
        <w:lang w:val="es-CO" w:eastAsia="es-CO"/>
      </w:rPr>
      <w:drawing>
        <wp:inline distT="0" distB="0" distL="0" distR="0">
          <wp:extent cx="1104900" cy="733425"/>
          <wp:effectExtent l="0" t="0" r="0" b="9525"/>
          <wp:docPr id="2" name="Imagen 2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40D18"/>
    <w:multiLevelType w:val="hybridMultilevel"/>
    <w:tmpl w:val="EC2E2718"/>
    <w:lvl w:ilvl="0" w:tplc="F6189E6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D25B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281C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0AD8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FEB0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2E63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0A11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6251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98B8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AB0B94"/>
    <w:multiLevelType w:val="multilevel"/>
    <w:tmpl w:val="B03C5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ocumentProtection w:edit="forms" w:enforcement="1" w:spinCount="100000" w:hashValue="AJ5mpdVGrLqqD22VYX+7kehBI3MA6rIuqZT32JTp0D+LkqMIn4jrOTEOB4UvFeZbJsaph/7CI00Bn4aQeT6Akw==" w:saltValue="rkMsPvHKFAikXqco5uOA0w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58"/>
    <w:rsid w:val="0072079F"/>
    <w:rsid w:val="00984358"/>
    <w:rsid w:val="00B8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56B637CD-A3D7-41B3-AE14-AD8135EC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325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14"/>
    <w:pPr>
      <w:spacing w:beforeAutospacing="1"/>
      <w:jc w:val="center"/>
    </w:pPr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DB56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614"/>
  </w:style>
  <w:style w:type="paragraph" w:styleId="Piedepgina">
    <w:name w:val="footer"/>
    <w:basedOn w:val="Normal"/>
    <w:link w:val="Piedepgina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614"/>
  </w:style>
  <w:style w:type="paragraph" w:styleId="Sangra2detindependiente">
    <w:name w:val="Body Text Indent 2"/>
    <w:basedOn w:val="Normal"/>
    <w:link w:val="Sangra2detindependienteCar"/>
    <w:semiHidden/>
    <w:rsid w:val="00DB5614"/>
    <w:pPr>
      <w:tabs>
        <w:tab w:val="left" w:pos="-720"/>
      </w:tabs>
      <w:suppressAutoHyphens/>
      <w:ind w:left="1490" w:hanging="1560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DB5614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B5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DB561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B56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77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9779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E46E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unhideWhenUsed/>
    <w:rsid w:val="00E15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ACIO%20CARRE&#209;O\Escritorio\Formato%20de%20Memo%20Plantilla%202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57993-E79F-4F7B-8C25-E0F4603F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 Plantilla 2007</Template>
  <TotalTime>0</TotalTime>
  <Pages>5</Pages>
  <Words>1273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HORACIO CARREÑO</dc:creator>
  <cp:lastModifiedBy>DANIELA MARIA HOYOS GOMEZ</cp:lastModifiedBy>
  <cp:revision>2</cp:revision>
  <dcterms:created xsi:type="dcterms:W3CDTF">2015-07-15T16:59:00Z</dcterms:created>
  <dcterms:modified xsi:type="dcterms:W3CDTF">2015-07-15T16:59:00Z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1429190534693</vt:lpwstr>
  </property>
  <property fmtid="{D5CDD505-2E9C-101B-9397-08002B2CF9AE}" pid="3" name="_MarkAsFinal">
    <vt:bool>true</vt:bool>
  </property>
</Properties>
</file>